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10788-05-14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וחידי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89"/>
        <w:gridCol w:w="4459"/>
        <w:gridCol w:w="2654"/>
        <w:gridCol w:w="18"/>
      </w:tblGrid>
      <w:tr>
        <w:trPr>
          <w:trHeight w:val="337" w:hRule="atLeast"/>
        </w:trPr>
        <w:tc>
          <w:tcPr>
            <w:tcW w:w="1589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</w:p>
        </w:tc>
        <w:tc>
          <w:tcPr>
            <w:tcW w:w="7113" w:type="dxa"/>
            <w:gridSpan w:val="2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37" w:hRule="atLeast"/>
        </w:trPr>
        <w:tc>
          <w:tcPr>
            <w:tcW w:w="6048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מנחם פינקלשטיין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 ליאורה ברודי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רמי אמיר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72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5" w:type="dxa"/>
        <w:jc w:val="start"/>
        <w:tblInd w:w="-5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1"/>
        <w:gridCol w:w="5564"/>
      </w:tblGrid>
      <w:tr>
        <w:trPr/>
        <w:tc>
          <w:tcPr>
            <w:tcW w:w="3241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564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</w:tc>
      </w:tr>
      <w:tr>
        <w:trPr/>
        <w:tc>
          <w:tcPr>
            <w:tcW w:w="880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1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564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איימן וחידי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יסמין שביט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לנה סטל ממשרד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אבו עאמר</w:t>
      </w:r>
    </w:p>
    <w:p>
      <w:pPr>
        <w:pStyle w:val="David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sz w:val="32"/>
          <w:szCs w:val="32"/>
        </w:rPr>
      </w:pPr>
      <w:r>
        <w:rPr>
          <w:rFonts w:ascii="Arial" w:hAnsi="Arial" w:eastAsia="David" w:cs="Arial"/>
          <w:b/>
          <w:b/>
          <w:color w:val="FF0000"/>
          <w:sz w:val="32"/>
          <w:sz w:val="32"/>
          <w:rtl w:val="true"/>
        </w:rPr>
        <w:t>במסמך זה הושמטו פרוטוקולים</w:t>
      </w:r>
      <w:bookmarkStart w:id="4" w:name="LawTable"/>
      <w:bookmarkEnd w:id="4"/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sz w:val="32"/>
          <w:szCs w:val="32"/>
        </w:rPr>
      </w:pPr>
      <w:r>
        <w:rPr>
          <w:rFonts w:eastAsia="David" w:cs="FrankRuehl" w:ascii="FrankRuehl" w:hAnsi="FrankRuehl"/>
          <w:sz w:val="32"/>
          <w:szCs w:val="32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ascii="FrankRuehl" w:hAnsi="FrankRuehl" w:eastAsia="David" w:cs="FrankRuehl"/>
          <w:rtl w:val="true"/>
        </w:rPr>
        <w:t>חקיקה שאוזכרה</w:t>
      </w:r>
      <w:r>
        <w:rPr>
          <w:rFonts w:eastAsia="David" w:cs="FrankRuehl" w:ascii="FrankRuehl" w:hAnsi="FrankRuehl"/>
          <w:rtl w:val="true"/>
        </w:rPr>
        <w:t xml:space="preserve">: 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hyperlink r:id="rId2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1977</w:t>
        </w:r>
      </w:hyperlink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סע</w:t>
      </w:r>
      <w:r>
        <w:rPr>
          <w:rFonts w:eastAsia="David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31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244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261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א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32"/>
          <w:szCs w:val="32"/>
          <w:u w:val="single"/>
        </w:rPr>
      </w:pPr>
      <w:bookmarkStart w:id="5" w:name="PsakDin"/>
      <w:bookmarkStart w:id="6" w:name="LawTable_End"/>
      <w:bookmarkEnd w:id="5"/>
      <w:bookmarkEnd w:id="6"/>
      <w:r>
        <w:rPr>
          <w:rFonts w:ascii="Arial" w:hAnsi="Arial" w:eastAsia="David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  <w:r>
        <w:rPr>
          <w:rFonts w:ascii="Arial" w:hAnsi="Arial" w:eastAsia="David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</w:p>
    <w:p>
      <w:pPr>
        <w:pStyle w:val="David"/>
        <w:ind w:end="0"/>
        <w:jc w:val="center"/>
        <w:rPr>
          <w:rFonts w:ascii="David" w:hAnsi="David" w:eastAsia="David" w:cs="David"/>
          <w:b/>
          <w:bCs/>
          <w:sz w:val="32"/>
          <w:szCs w:val="32"/>
          <w:u w:val="single"/>
        </w:rPr>
      </w:pPr>
      <w:r>
        <w:rPr>
          <w:rFonts w:eastAsia="David" w:cs="David" w:ascii="David" w:hAnsi="David"/>
          <w:b/>
          <w:bCs/>
          <w:sz w:val="32"/>
          <w:szCs w:val="32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ביום </w:t>
      </w:r>
      <w:r>
        <w:rPr>
          <w:rFonts w:cs="David" w:ascii="David" w:hAnsi="David"/>
        </w:rPr>
        <w:t>21.7.15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הורשע הנאשם על יסוד הודייתו בכתב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במסגרת הסדר טיעון בעבירות של סיוע לאחר 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לפי </w:t>
      </w:r>
      <w:hyperlink r:id="rId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261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9">
        <w:r>
          <w:rPr>
            <w:rStyle w:val="Hyperlink"/>
            <w:rFonts w:ascii="David" w:hAnsi="David" w:cs="David"/>
            <w:rtl w:val="true"/>
          </w:rPr>
          <w:t>חוק</w:t>
        </w:r>
        <w:r>
          <w:rPr>
            <w:rStyle w:val="Hyperlink"/>
            <w:rFonts w:ascii="David" w:hAnsi="David" w:cs="David"/>
            <w:rtl w:val="true"/>
          </w:rPr>
          <w:t xml:space="preserve">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ושיבוש מהלכי משפט לפי </w:t>
      </w:r>
      <w:hyperlink r:id="rId10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וכן בעבירות של סיוע לנשיאת נשק לפי </w:t>
      </w:r>
      <w:hyperlink r:id="rId1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רישא </w:t>
      </w:r>
      <w:hyperlink r:id="rId1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וכן סיוע ליריות באיזור מגורים לפי </w:t>
      </w:r>
      <w:hyperlink r:id="rId1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340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א</w:t>
        </w:r>
      </w:hyperlink>
      <w:r>
        <w:rPr>
          <w:rFonts w:ascii="David" w:hAnsi="David" w:cs="David"/>
          <w:rtl w:val="true"/>
        </w:rPr>
        <w:t xml:space="preserve"> ו</w:t>
      </w:r>
      <w:r>
        <w:rPr>
          <w:rFonts w:cs="David" w:ascii="David" w:hAnsi="David"/>
          <w:rtl w:val="true"/>
        </w:rPr>
        <w:t>-</w:t>
      </w:r>
      <w:hyperlink r:id="rId14">
        <w:r>
          <w:rPr>
            <w:rStyle w:val="Hyperlink"/>
            <w:rFonts w:cs="David" w:ascii="David" w:hAnsi="David"/>
            <w:color w:val="0000FF"/>
            <w:u w:val="single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מדובר בפרשה שבה הועמדו לדין שלושה נאשמים בעבירות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עניינו של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הסתיים בזיכויו לאחר שהתקבלה טענה שאין להשיב לאשמה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עניינו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הסתיים בגזר דין שניתן ביום </w:t>
      </w:r>
      <w:r>
        <w:rPr>
          <w:rFonts w:cs="David" w:ascii="David" w:hAnsi="David"/>
        </w:rPr>
        <w:t>21.7.15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גזר הדין הזה מתייחס רק לנאשם שלפנינו שהיה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בכתב האישום המקורי והמתוקן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מעבר לכך שהפרטים הרלוונטיים לגבי הנאשם שלפנינו פורטו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הרי שחזרנו עליהם למעשה גם בגזר הדין שניתן בעניינו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אין מקום לחזור שוב על הפרטים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נזכיר רק כי במהלך שמיעת ההוכחות התרשמנו גם אנו בקיומם של קשיים ראייתיים ממשיים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והדבר צוין בגזר הדין בעניינו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לפי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יוטלו 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חודשיים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בכפוף לחוות דעת הממונה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וכן עונש מאסר על תנאי וקנס מוסכם בסך </w:t>
      </w:r>
      <w:r>
        <w:rPr>
          <w:rFonts w:cs="David" w:ascii="David" w:hAnsi="David"/>
        </w:rPr>
        <w:t>2000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כ המאשימה הדגישה כי בהסדר זה הביאה המאשימה בחשבון את העובדה שהנאשם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היה עצור בתיק זה כארבעה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ולאחר מכן היה תקופה ניכרת במעצר בית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לאחר תקופה שבה לא ניתן אישור לביצוע המאסר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ניתנה עתה חוות דעת שלפיה כשיר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לביצוע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וניתן אפוא לסיים את ההליך המשפטי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היום שמענו את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הצדדים שמבקשים לאמץ את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ואין לנו כל סיבה שלא לעשות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בהתחשב בכל הנתונים שלפנינו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ולאחר שאימצנו גם את הסדר הטיעון בעניינו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מטילים אנו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חודשיים מאסר בפועל שיבוצעו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חמישה 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והתנאי הוא שהנאשם לא יעבור תוך שלוש שנים אחת העבירות שבהן הורשע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אלפיים ₪ קנס 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ימי מאסר תמורתם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הקנס ישולם מתוך הפקדון שבתיק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ת בו נעצר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יתרת הפקדון באותו תיק תושב לידי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הנאשם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תודיע למזכירות את פרטי תיק 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ת ממנו יש לגבות את סכום הקנס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עונש המאסר בן החודשיים ירוצה בעבודות שירות במרכז יום לקשיש ברח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 xml:space="preserve">ההגנה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ברמלה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וזאת החל מיום </w:t>
      </w:r>
      <w:r>
        <w:rPr>
          <w:rFonts w:cs="David" w:ascii="David" w:hAnsi="David"/>
        </w:rPr>
        <w:t>17.4.16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תנאי ההעסקה יהיו ככתוב בחוות דעת הממונה על עבודות שירות מיום </w:t>
      </w:r>
      <w:r>
        <w:rPr>
          <w:rFonts w:cs="David" w:ascii="David" w:hAnsi="David"/>
        </w:rPr>
        <w:t>10.2.16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על הנאשם יהיה להתייצב ביום </w:t>
      </w:r>
      <w:r>
        <w:rPr>
          <w:rFonts w:cs="David" w:ascii="David" w:hAnsi="David"/>
        </w:rPr>
        <w:t>17.4.16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בשעה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ביחידת עבודות שירות במפקדת מחוז מרכז ברמלה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הובהר לנאשם כי אי עמידה בתנאי עבודות השירות עלולה להביא להפסקת עבודות השירות ולביצוע עונש המאסר בכליאה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 xml:space="preserve">הודעה לנאשם זכות ערעור לבית המשפט העליון בתוך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יום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#6#</w:t>
      </w:r>
      <w:r>
        <w:rPr>
          <w:rFonts w:cs="David" w:ascii="David" w:hAnsi="David"/>
          <w:sz w:val="6"/>
          <w:szCs w:val="6"/>
          <w:rtl w:val="true"/>
        </w:rPr>
        <w:t>&gt;</w:t>
      </w:r>
    </w:p>
    <w:tbl>
      <w:tblPr>
        <w:bidiVisual w:val="true"/>
        <w:tblW w:w="850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6"/>
        <w:gridCol w:w="348"/>
        <w:gridCol w:w="2308"/>
        <w:gridCol w:w="336"/>
        <w:gridCol w:w="2736"/>
      </w:tblGrid>
      <w:tr>
        <w:trPr/>
        <w:tc>
          <w:tcPr>
            <w:tcW w:w="27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ניתן והודע היום ז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אדר 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תשע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16/02/2016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במעמד הנוכחים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 </w:t>
            </w:r>
          </w:p>
        </w:tc>
        <w:tc>
          <w:tcPr>
            <w:tcW w:w="348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0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6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77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השופט מנחם פינקלשטיין</w:t>
            </w: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סג</w:t>
            </w: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נ אב</w:t>
            </w: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348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ליאורה ברודי</w:t>
            </w: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3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eastAsia="Times New Roman" w:cs="Courier New"/>
                <w:b/>
                <w:bCs/>
              </w:rPr>
            </w:pP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רמי אמיר</w:t>
            </w:r>
            <w:r>
              <w:rPr>
                <w:rFonts w:eastAsia="Times New Roman"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eastAsia="Times New Roman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/>
          </w:tcPr>
          <w:p>
            <w:pPr>
              <w:pStyle w:val="Normal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David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ליה</w:t>
      </w:r>
      <w:r>
        <w:rPr>
          <w:rtl w:val="true"/>
        </w:rPr>
        <w:t xml:space="preserve"> </w:t>
      </w:r>
      <w:r>
        <w:rPr>
          <w:rtl w:val="true"/>
        </w:rPr>
        <w:t>סטרניצקי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מנחם פינקלשטיין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10788-05-14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איימן וחידי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eaderChar">
    <w:name w:val="Header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261.1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261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44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0301/340a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2016-02-24T09:35:00Z</dcterms:created>
  <dc:creator> </dc:creator>
  <dc:description/>
  <cp:keywords/>
  <dc:language>en-IL</dc:language>
  <cp:lastModifiedBy>hofit</cp:lastModifiedBy>
  <dcterms:modified xsi:type="dcterms:W3CDTF">2016-02-24T09:35:00Z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איימן וחידי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20160216</vt:lpwstr>
  </property>
  <property fmtid="{D5CDD505-2E9C-101B-9397-08002B2CF9AE}" pid="10" name="DELEMATA">
    <vt:lpwstr/>
  </property>
  <property fmtid="{D5CDD505-2E9C-101B-9397-08002B2CF9AE}" pid="11" name="JUDGE">
    <vt:lpwstr>מנחם פינקלשטיין;ליאורה ברודי;רמי אמיר</vt:lpwstr>
  </property>
  <property fmtid="{D5CDD505-2E9C-101B-9397-08002B2CF9AE}" pid="12" name="LAWLISTTMP1">
    <vt:lpwstr>70301/261.1;244;144.b;031:2;340a</vt:lpwstr>
  </property>
  <property fmtid="{D5CDD505-2E9C-101B-9397-08002B2CF9AE}" pid="13" name="LAWYER">
    <vt:lpwstr>יסמין שביט;לנה סטל ממשרד אבו עאמר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10788</vt:lpwstr>
  </property>
  <property fmtid="{D5CDD505-2E9C-101B-9397-08002B2CF9AE}" pid="20" name="NEWPARTB">
    <vt:lpwstr>05</vt:lpwstr>
  </property>
  <property fmtid="{D5CDD505-2E9C-101B-9397-08002B2CF9AE}" pid="21" name="NEWPARTC">
    <vt:lpwstr>14</vt:lpwstr>
  </property>
  <property fmtid="{D5CDD505-2E9C-101B-9397-08002B2CF9AE}" pid="22" name="NEWPROC">
    <vt:lpwstr>תפח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390020160216</vt:lpwstr>
  </property>
  <property fmtid="{D5CDD505-2E9C-101B-9397-08002B2CF9AE}" pid="32" name="TYPE_N_DATE">
    <vt:lpwstr>39020160216</vt:lpwstr>
  </property>
  <property fmtid="{D5CDD505-2E9C-101B-9397-08002B2CF9AE}" pid="33" name="VOLUME">
    <vt:lpwstr/>
  </property>
  <property fmtid="{D5CDD505-2E9C-101B-9397-08002B2CF9AE}" pid="34" name="WORDNUMPAGES">
    <vt:lpwstr>3</vt:lpwstr>
  </property>
</Properties>
</file>