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לפני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ואגו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צלקובניק</w:t>
            </w:r>
          </w:p>
        </w:tc>
        <w:tc>
          <w:tcPr>
            <w:tcW w:w="3671" w:type="dxa"/>
            <w:tcBorders/>
          </w:tcPr>
          <w:p>
            <w:pPr>
              <w:pStyle w:val="Normal"/>
              <w:ind w:end="0"/>
              <w:jc w:val="start"/>
              <w:rPr>
                <w:rFonts w:cs="Arial"/>
                <w:b/>
                <w:bCs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  <w:lang w:val="en-US" w:eastAsia="en-US"/>
              </w:rPr>
              <w:t xml:space="preserve">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תפ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 </w:t>
            </w:r>
            <w:r>
              <w:rPr>
                <w:rFonts w:cs="Arial" w:ascii="Arial" w:hAnsi="Arial"/>
                <w:b/>
                <w:bCs/>
                <w:lang w:val="en-US" w:eastAsia="en-US"/>
              </w:rPr>
              <w:t>1080-06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tbl>
      <w:tblPr>
        <w:bidiVisual w:val="true"/>
        <w:tblW w:w="8155" w:type="dxa"/>
        <w:jc w:val="start"/>
        <w:tblInd w:w="5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800"/>
        <w:gridCol w:w="3960"/>
        <w:gridCol w:w="10"/>
        <w:gridCol w:w="2385"/>
      </w:tblGrid>
      <w:tr>
        <w:trPr/>
        <w:tc>
          <w:tcPr>
            <w:tcW w:w="180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:</w:t>
            </w:r>
          </w:p>
        </w:tc>
        <w:tc>
          <w:tcPr>
            <w:tcW w:w="6355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מדינת ישראל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397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מ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גז</w:t>
            </w:r>
          </w:p>
        </w:tc>
        <w:tc>
          <w:tcPr>
            <w:tcW w:w="2385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המאשימה</w:t>
            </w:r>
          </w:p>
        </w:tc>
      </w:tr>
      <w:tr>
        <w:trPr/>
        <w:tc>
          <w:tcPr>
            <w:tcW w:w="8155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נ ג ד</w:t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 xml:space="preserve">חסן לאפי 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800" w:type="dxa"/>
            <w:tcBorders/>
          </w:tcPr>
          <w:p>
            <w:pPr>
              <w:pStyle w:val="Normal"/>
              <w:snapToGrid w:val="false"/>
              <w:spacing w:lineRule="auto" w:line="360"/>
              <w:ind w:start="26"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96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ב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מ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ג</w:t>
            </w:r>
            <w:r>
              <w:rPr>
                <w:rFonts w:cs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cs="Arial"/>
                <w:b/>
                <w:b/>
                <w:bCs/>
                <w:rtl w:val="true"/>
                <w:lang w:val="en-US" w:eastAsia="en-US"/>
              </w:rPr>
              <w:t>אברין</w:t>
            </w:r>
          </w:p>
        </w:tc>
        <w:tc>
          <w:tcPr>
            <w:tcW w:w="2395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264" w:leader="none"/>
              </w:tabs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  <w:t>&lt;</w:t>
      </w:r>
      <w:r>
        <w:rPr>
          <w:sz w:val="6"/>
          <w:szCs w:val="6"/>
          <w:lang w:val="en-US" w:eastAsia="en-US"/>
        </w:rPr>
        <w:t>#2#</w:t>
      </w:r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val="en-US" w:eastAsia="en-US"/>
        </w:rPr>
      </w:pPr>
      <w:r>
        <w:rPr>
          <w:rFonts w:ascii="FrankRuehl" w:hAnsi="FrankRuehl" w:cs="FrankRuehl"/>
          <w:rtl w:val="true"/>
          <w:lang w:val="en-US" w:eastAsia="en-US"/>
        </w:rPr>
        <w:t>חקיקה שאוזכרה</w:t>
      </w:r>
      <w:r>
        <w:rPr>
          <w:rFonts w:cs="FrankRuehl" w:ascii="FrankRuehl" w:hAnsi="FrankRuehl"/>
          <w:rtl w:val="true"/>
          <w:lang w:val="en-US" w:eastAsia="en-US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143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פקודת מניעת טרור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חוק למניעת הסתננות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עבירות ושיפוט</w:t>
        </w:r>
        <w:r>
          <w:rPr>
            <w:rStyle w:val="Hyperlink"/>
            <w:rFonts w:cs="FrankRuehl" w:ascii="FrankRuehl" w:hAnsi="FrankRuehl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rtl w:val="true"/>
          </w:rPr>
          <w:t>תשי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1954</w:t>
        </w:r>
      </w:hyperlink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  <w:lang w:val="en-US" w:eastAsia="en-US"/>
        </w:rPr>
        <w:t>סע</w:t>
      </w: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  <w:lang w:val="en-US" w:eastAsia="en-US"/>
        </w:rPr>
      </w:pPr>
      <w:r>
        <w:rPr>
          <w:rFonts w:cs="FrankRuehl" w:ascii="FrankRuehl" w:hAnsi="FrankRuehl"/>
          <w:color w:val="0000FF"/>
          <w:u w:val="single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6"/>
          <w:szCs w:val="6"/>
          <w:lang w:val="en-US" w:eastAsia="en-US"/>
        </w:rPr>
      </w:pPr>
      <w:r>
        <w:rPr>
          <w:rFonts w:cs="FrankRuehl" w:ascii="FrankRuehl" w:hAnsi="FrankRuehl"/>
          <w:sz w:val="6"/>
          <w:szCs w:val="6"/>
          <w:rtl w:val="true"/>
          <w:lang w:val="en-US" w:eastAsia="en-US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6"/>
          <w:szCs w:val="6"/>
          <w:lang w:val="en-US" w:eastAsia="en-US"/>
        </w:rPr>
      </w:pPr>
      <w:r>
        <w:rPr>
          <w:sz w:val="6"/>
          <w:szCs w:val="6"/>
          <w:rtl w:val="true"/>
          <w:lang w:val="en-US" w:eastAsia="en-US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  <w:lang w:val="en-US" w:eastAsia="en-US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2"/>
                <w:szCs w:val="32"/>
                <w:lang w:val="en-US" w:eastAsia="en-US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  <w:lang w:val="en-US" w:eastAsia="en-US"/>
              </w:rPr>
              <w:t>ג ז ר – ד י ן</w:t>
            </w:r>
            <w:bookmarkEnd w:id="8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ס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הנשיא רויטל יפה</w:t>
      </w:r>
      <w:r>
        <w:rPr>
          <w:rFonts w:cs="Arial" w:ascii="Arial" w:hAnsi="Arial"/>
          <w:b/>
          <w:bCs/>
          <w:rtl w:val="true"/>
          <w:lang w:val="en-US" w:eastAsia="en-US"/>
        </w:rPr>
        <w:t>-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כ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ץ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אב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ד</w:t>
      </w:r>
      <w:r>
        <w:rPr>
          <w:rFonts w:cs="Arial" w:ascii="Arial" w:hAnsi="Arial"/>
          <w:b/>
          <w:bCs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הסדר טיעון שנערך בין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לאחר תחילת שמיעת הראיות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חזר בו הנאשם מכפירתו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תוקן כתב האישום המקורי שהוגש כנגדו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הודה בעובדות שבכתב האישום המתוקן והורשע בהתאם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הייתה הסכמה לעניין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מעובדות האישום הראשון שבכתב האישום המתוקן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סמוך לאחר חודש אוגוסט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גוייס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בהסכמתו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לארגון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 xml:space="preserve">יהד האיסלמי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ארגון שהוכרז ביום </w:t>
      </w:r>
      <w:r>
        <w:rPr>
          <w:rFonts w:cs="Arial" w:ascii="Arial" w:hAnsi="Arial"/>
          <w:lang w:val="en-US" w:eastAsia="en-US"/>
        </w:rPr>
        <w:t>22/6/89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על ידי ממשלת ישראל כארגון טרוריסטי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על ידי המכונה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עלי</w:t>
      </w:r>
      <w:r>
        <w:rPr>
          <w:rFonts w:cs="Arial" w:ascii="Arial" w:hAnsi="Arial"/>
          <w:rtl w:val="true"/>
          <w:lang w:val="en-US" w:eastAsia="en-US"/>
        </w:rPr>
        <w:t xml:space="preserve">". </w:t>
      </w:r>
      <w:r>
        <w:rPr>
          <w:rFonts w:ascii="Arial" w:hAnsi="Arial" w:cs="Arial"/>
          <w:rtl w:val="true"/>
          <w:lang w:val="en-US" w:eastAsia="en-US"/>
        </w:rPr>
        <w:t>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עלי הציע לנאשם ללמד אותו להכין אבק שריפה לצורך הכנת מטעני 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הנאשם הסכים ובמסגרת זו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לימד אותו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עלי כיצד להכין חומר נפץ וכיצד להלחים חוטי חשמל להכנת מטעני חבלה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0" w:name="ABSTRACT_END"/>
      <w:bookmarkEnd w:id="10"/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 xml:space="preserve">נוכח מעשיו אלה הורשע הנאשם בעבירות של אימונים צבאיים אסורים 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143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0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–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 xml:space="preserve">חברות בארגון טרוריסטי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3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2">
        <w:r>
          <w:rPr>
            <w:rStyle w:val="Hyperlink"/>
            <w:rFonts w:ascii="Arial" w:hAnsi="Arial" w:cs="Arial"/>
            <w:rtl w:val="true"/>
            <w:lang w:val="en-US" w:eastAsia="en-US"/>
          </w:rPr>
          <w:t>פקודת מניעת טרור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השני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בסוף 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פנה אליו פעיל של ארגון הג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יהד האיסלמי בשם חדר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ממנו להכין חומר נפץ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הסכים ואותו פעיל סיפק לו את החומרים הדרושים לצורך 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רכש בחנויות למכירת דשנים לחקלאים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הכין הנאשם בביתו של חדר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פעיל ארגון נוסף בשם זכריא עבד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חומר נפץ במשקל </w:t>
      </w:r>
      <w:r>
        <w:rPr>
          <w:rFonts w:cs="Arial" w:ascii="Arial" w:hAnsi="Arial"/>
          <w:lang w:val="en-US" w:eastAsia="en-US"/>
        </w:rPr>
        <w:t>55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במועד מאוחר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הכינו השניים חומר נפץ נוסף במשקל </w:t>
      </w:r>
      <w:r>
        <w:rPr>
          <w:rFonts w:cs="Arial" w:ascii="Arial" w:hAnsi="Arial"/>
          <w:lang w:val="en-US" w:eastAsia="en-US"/>
        </w:rPr>
        <w:t>35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ג ובפעם אחרת הכין הנאשם חומר נפץ במשקל </w:t>
      </w:r>
      <w:r>
        <w:rPr>
          <w:rFonts w:cs="Arial" w:ascii="Arial" w:hAnsi="Arial"/>
          <w:lang w:val="en-US" w:eastAsia="en-US"/>
        </w:rPr>
        <w:t>60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העביר את חומר הנפץ שהכין לפעילים בארגון בשם מוחמד עבד אל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 ועבד אלרחמן מצרי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ונודע לו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בדיעבד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מילאו בלוני גז ומטפי כיבוי בחומר הנפץ ובכך הכינו באמצעותו מטעני חבלה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בגין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4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במסגרת האישום השלישי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בסוף 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ובמסגרת קשריו עם אבו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עלי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ייצר מטען חבלה המופעל על ידי טלפון סלולארי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את מטען החבלה מסר הנאשם לחבר ולפעיל נוסף בארגון בשם חאלד מנצור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ביודעו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ישתמשו בו במסגרת פעילותו של חאלד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בגין מעשיו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הורשע הנאשם בעבירות בנשק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ייצור נשק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 xml:space="preserve">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6">
        <w:r>
          <w:rPr>
            <w:rStyle w:val="Hyperlink"/>
            <w:rFonts w:ascii="Arial" w:hAnsi="Arial" w:cs="Arial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במסגרת האישום הרביעי של כתב האישום המתוקן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הוא תושב הרשות הפלשתינאית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התגורר ברפיח שבעזה וכי לא היה לו היתר כניסה לישראל במועדים הרלבנטיים לכתב האישום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חרף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ובמועד שלאחר חודש אוגוסט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סיכם הנאשם עם אדם בשם גי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הד טיר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להיכנס לישראל שלא כדין ולעבור דרכה לגדה המערבית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וזאת לאחר שהנאשם הסתבך בסכסוכי משפחות בתוך רצועת 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עברו הנאשם וג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מעה לסיני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ובתאריך </w:t>
      </w:r>
      <w:r>
        <w:rPr>
          <w:rFonts w:cs="Arial" w:ascii="Arial" w:hAnsi="Arial"/>
          <w:lang w:val="en-US" w:eastAsia="en-US"/>
        </w:rPr>
        <w:t>30/5/06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21:50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חצו השניים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יחד עם שני אנשים נוספים תושבי עזה אותם פגשו בסיני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גבול מצרים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ישראל ונכנסו לישראל שלא כדין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 xml:space="preserve">בסמוך לשעה </w:t>
      </w:r>
      <w:r>
        <w:rPr>
          <w:rFonts w:cs="Arial" w:ascii="Arial" w:hAnsi="Arial"/>
          <w:lang w:val="en-US" w:eastAsia="en-US"/>
        </w:rPr>
        <w:t>22:00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נעצרו הארבעה על ידי כוחות הבטחון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על גופו של הנאשם נתפסו </w:t>
      </w:r>
      <w:r>
        <w:rPr>
          <w:rFonts w:cs="Arial" w:ascii="Arial" w:hAnsi="Arial"/>
          <w:lang w:val="en-US" w:eastAsia="en-US"/>
        </w:rPr>
        <w:t>10,400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2,000$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בגין מעשיו אלה הורשע הנאשם בביצוע עבירת הסתננות 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2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</w:t>
      </w:r>
      <w:hyperlink r:id="rId18"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חוק למניעת הסתננות 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(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>עבירות ושיפוט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ד – </w:t>
      </w:r>
      <w:r>
        <w:rPr>
          <w:rFonts w:cs="Arial" w:ascii="Arial" w:hAnsi="Arial"/>
          <w:lang w:val="en-US" w:eastAsia="en-US"/>
        </w:rPr>
        <w:t>1954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טיעוניה לעונש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עמדה התובעת המלומדה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חומרת מעשי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היא הדגישה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מאז מעצרו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לפני כ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התמשך משפטו בעיקר עקב חילופי סנגורים ועיכובים שבאו מצידו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שלא ניתן לזקוף לזכותו של הנאשם את התמשכות ההליכים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עוד הדגישה התובעת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זמן קצר לאחר שהנאשם הצטרף לארגון הטרור הרצחני כחבר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עבר אימונים צבאיים שתכליתם הייתה ללמדו ייצור חומרי נפץ ומטעני חבלה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סמוך מיד לאחר מכן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 הנאשם ליישם את שלמד ולייצר חומרי נפץ עבור 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ובסופו של דבר אף הכין מטען חבלה מושלם בעצמו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העביר לפעיל טרור בידיעה שאותו פעיל ייעשה בו שימוש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אין לקבל את הטענה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משלא הוכח שנעשה שימוש בחומר הנפץ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הדבר מהווה נימוק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די בעצם אספקת חומרי הנפץ ומטען החבלה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אפילו לא נעשה בהם שימוש מסיבה זו או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ללמד על החומרה שבמעשה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לדבריה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ברור לנאשם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לשם מה ארגון הטרור מעוניין במטען החבלה שהכין ובחומרי הנפץ הרבים שסיפק לו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במשקל כולל של </w:t>
      </w: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!),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לא צריך דמיון רב על מנת לשער בנפשנו עד כמה חורבן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הרס והרג יכול חומר נפץ בכמות כה גדולה לגרום לחיילנו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שעושים ימים כלילות על מנת להגן על בטחון תושבי המדינה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כדבריה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התובעת ציינה גם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במועדים הרלבנטיים לכתב האישום רצועת עזה הייתה בשליטה ישראלית מלאה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שהו מכוח זה ברצועה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ארגוני הטרור השתמשו באותה עת בחומרי נפץ כנגד כוחות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אלה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  <w:r>
        <w:rPr>
          <w:rFonts w:ascii="Arial" w:hAnsi="Arial" w:cs="Arial"/>
          <w:rtl w:val="true"/>
          <w:lang w:val="en-US" w:eastAsia="en-US"/>
        </w:rPr>
        <w:t>בסיום טיעוניה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ציינה התובעת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פסיקה בעניין נאשמים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תושבי רצועת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שהינם חברים בארגון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ובמסגרת פעילותם התמקדו בייצור אמל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 – איננה נפוצה ולפיכך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חרגה המדינה ממנהגה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לפיו בדרך כלל אינה נוהגת לבקש עונש ספציפי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וביקשה מביהמ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להתוות קו ענישה מחמיר וברור על ידי הטלת עונש מאסר ממושך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ולכל הפחות של </w:t>
      </w:r>
      <w:r>
        <w:rPr>
          <w:rFonts w:cs="Arial" w:ascii="Arial" w:hAnsi="Arial"/>
          <w:lang w:val="en-US" w:eastAsia="en-US"/>
        </w:rPr>
        <w:t>13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מאסר על תנאי ארוך ומרתיע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במסגרת טיעוניו לעונש של הסנגור המלומד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</w:t>
      </w:r>
      <w:r>
        <w:rPr>
          <w:rFonts w:cs="Arial" w:ascii="Arial" w:hAnsi="Arial"/>
          <w:rtl w:val="true"/>
          <w:lang w:val="en-US" w:eastAsia="en-US"/>
        </w:rPr>
        <w:t>'</w:t>
      </w:r>
      <w:r>
        <w:rPr>
          <w:rFonts w:ascii="Arial" w:hAnsi="Arial" w:cs="Arial"/>
          <w:rtl w:val="true"/>
          <w:lang w:val="en-US" w:eastAsia="en-US"/>
        </w:rPr>
        <w:t>אברין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הדגיש את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מעשיו של הנאשם נעשו בשנת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נמשכו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בלבד ומאז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כמעט כעשור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ביצע הנאשם כל עבירה בטחונית שהיא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בחר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מיוזמתו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להתנתק מארגון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ופרט לעבירת ההסתננות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ביצע עבירות מאז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אשר לעבירת ההסתננות 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נאלץ לעזוב את רצועת עזה בשל סכסוך בין משפחתו למשפחות יריבות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מטרתו הייתה להגיע לגדה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שבכל מקרה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בעבירת ההסתננות כוונתו של הנאשם לא הייתה לבצע עבירות כנגד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הסנגור הוסיף והדגיש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כל ידיעה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בדל של ידיעה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באשר לטיב חומר הנפץ שהכין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כך שגם לא ניתן לדעת מה פוטנציאל ההרס של חומרים אלה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וכן טען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כל ידיעה באם כלל נעשה שימוש באותו חומר נפץ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הסנגור הוסיף וציין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נשוי ואב לשלושה ילדים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ביתו נהרס בשנת </w:t>
      </w:r>
      <w:r>
        <w:rPr>
          <w:rFonts w:cs="Arial" w:ascii="Arial" w:hAnsi="Arial"/>
          <w:lang w:val="en-US" w:eastAsia="en-US"/>
        </w:rPr>
        <w:t>2003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במסגרת הרחבת ציר פילדלפי בסמוך לרפיח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נאלץ לעבור לעיר אחרת ברצועת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ושם משפחתו הסתכסכה עם משפחה יריבה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והוא החליט להעתיק את מקום מגוריו לגדה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החלטה שבעטיה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כאמור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הסתנן למדינת ישראל ונעצר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אשר להתמשכות ההליכים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הסביר הסנגור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אמנם החליף סנגורים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בהיותו תושב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וללא קשר ישיר עם בני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היה מי שידאג לייצוגו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דבר שפגע בעיקרו בנאשם ולא באחרים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בסיום דבריו ביקש הסנגור שלא להחמיר עם הנאשם יתר על המידה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שכן יהיה בכך מכה קשה לו ולבני משפחתו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מעבר למכות שהגורל כבר היכה בו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hanging="720" w:start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hanging="720" w:start="720"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4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הגישו לעיוננו פסיקה ענפה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כל אחד מהם פסיקה אשר תומכת בעמדה העונשית שביקש שנאמץ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שניהם גם הסכימו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הפסיקה בעבירות כגון אלה בהן הורשע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איננה רבה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וביקשו לאבחן איש את הפסיקה שהגיש רעהו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הנאשם פנה אף הוא לביהמ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טען שהוא אדם ללא מזל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כאשר הדבר הטוב היחיד שקרה בחייו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היה נישואיו לרעייתו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שעומדת לצידו ותומכת בו ומעוניינת להתחיל יחד עימו בחיים חדשים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הוא סיפר על שלושת ילדיו – שתי בנות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בנות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ובן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בן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ועל דאגותיו למשפחתו נוכח המצב בעזה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ביקש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יתן לו הזדמנות להתחיל בחיים חדשים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הודה כי טעה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לתקופה קצרה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וביקש שלא להחמיר בעונשו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אין ספק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שיש לראות בחומרה רבה את מעשי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רק שהצטרף כחבר פעיל לארגון 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ששם לו כיעד לפגוע באזרחי המדינה ותושביה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שהוא אף התמחה בייצור חומרי נפץ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אותם ייצר והעביר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בכמויות ענקיות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סה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כ </w:t>
      </w:r>
      <w:r>
        <w:rPr>
          <w:rFonts w:cs="Arial" w:ascii="Arial" w:hAnsi="Arial"/>
          <w:lang w:val="en-US" w:eastAsia="en-US"/>
        </w:rPr>
        <w:t>150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</w:t>
      </w:r>
      <w:r>
        <w:rPr>
          <w:rFonts w:cs="Arial" w:ascii="Arial" w:hAnsi="Arial"/>
          <w:rtl w:val="true"/>
          <w:lang w:val="en-US" w:eastAsia="en-US"/>
        </w:rPr>
        <w:t xml:space="preserve">!), </w:t>
      </w:r>
      <w:r>
        <w:rPr>
          <w:rFonts w:ascii="Arial" w:hAnsi="Arial" w:cs="Arial"/>
          <w:rtl w:val="true"/>
          <w:lang w:val="en-US" w:eastAsia="en-US"/>
        </w:rPr>
        <w:t>לשימוש ארגון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מאוחר יותר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אף הרכיב בעצמו מטען 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שמופעל על ידי טלפון סלולארי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אותו העביר לשימוש ארגון הטרור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העבירות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ל בוצעו על ידי הנאשם בשנת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הוא הפסיק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ביוזמתו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את חברותו בארגון הטרור ואת הספקת חומרי הנפץ והמטענים לארגון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נכון שאין כל מידע אודות השימוש שנעשה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נעשה בחומר הנפץ או לגבי טיבו של חומר הנפץ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אך חומר נפץ ממהותו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נועד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בהיותו בידיו של ארגון טרור אלא כדי לזרוע הרס וחורבן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בעניין זה כבר נקבע על ידי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העליון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אין לראות בטענה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היות ולא הוכח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שנעשה שימוש בחומר הנפץ שהכין 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משום נימוק לקולא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די בכך שהנאשם סיפק לארגון טרור רצחני אמצעים משמעותיים להכנת מטעני חבלה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אם לא הוכח שנעשה במטענים אלה שימוש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להעיד על חומרת מעשיו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ואין בחוסר הידיעה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כדי להפחית ממסוכנותו ומחומרת המעשים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אם אכן לא נעשה שימוש בחומר הנפץ שהכין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מסיבה זו או אחרת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וכפי שצויין על ידי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העליון ב</w:t>
      </w:r>
      <w:hyperlink r:id="rId19">
        <w:r>
          <w:rPr>
            <w:rStyle w:val="Hyperlink"/>
            <w:rFonts w:ascii="Arial" w:hAnsi="Arial" w:cs="Arial"/>
            <w:rtl w:val="true"/>
            <w:lang w:val="en-US" w:eastAsia="en-US"/>
          </w:rPr>
          <w:t>ע</w:t>
        </w:r>
        <w:r>
          <w:rPr>
            <w:rStyle w:val="Hyperlink"/>
            <w:rFonts w:cs="Arial" w:ascii="Arial" w:hAnsi="Arial"/>
            <w:rtl w:val="true"/>
            <w:lang w:val="en-US" w:eastAsia="en-US"/>
          </w:rPr>
          <w:t>"</w:t>
        </w:r>
        <w:r>
          <w:rPr>
            <w:rStyle w:val="Hyperlink"/>
            <w:rFonts w:ascii="Arial" w:hAnsi="Arial" w:cs="Arial"/>
            <w:rtl w:val="true"/>
            <w:lang w:val="en-US" w:eastAsia="en-US"/>
          </w:rPr>
          <w:t xml:space="preserve">פ </w:t>
        </w:r>
        <w:r>
          <w:rPr>
            <w:rStyle w:val="Hyperlink"/>
            <w:rFonts w:cs="Arial" w:ascii="Arial" w:hAnsi="Arial"/>
            <w:lang w:val="en-US" w:eastAsia="en-US"/>
          </w:rPr>
          <w:t>8766/07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מחמד ח</w:t>
      </w:r>
      <w:r>
        <w:rPr>
          <w:rFonts w:cs="Arial" w:ascii="Arial" w:hAnsi="Arial"/>
          <w:b/>
          <w:bCs/>
          <w:rtl w:val="true"/>
          <w:lang w:val="en-US" w:eastAsia="en-US"/>
        </w:rPr>
        <w:t>'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לף נ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מדינת ישראל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 xml:space="preserve">מיום </w:t>
      </w:r>
      <w:r>
        <w:rPr>
          <w:rFonts w:cs="Arial" w:ascii="Arial" w:hAnsi="Arial"/>
          <w:lang w:val="en-US" w:eastAsia="en-US"/>
        </w:rPr>
        <w:t>26/11/09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זהו נס גדול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אשר בטח לא צריך להיות חבל להצלתו של המערער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  <w:lang w:val="en-US" w:eastAsia="en-US"/>
        </w:rPr>
        <w:t>שנתן בידי אוייבי המדינה כלים לפגוע במדינתו</w:t>
      </w:r>
      <w:r>
        <w:rPr>
          <w:rFonts w:cs="Arial" w:ascii="Arial" w:hAnsi="Arial"/>
          <w:b/>
          <w:bCs/>
          <w:sz w:val="22"/>
          <w:szCs w:val="22"/>
          <w:rtl w:val="true"/>
          <w:lang w:val="en-US" w:eastAsia="en-US"/>
        </w:rPr>
        <w:t>"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היווה חוליה חיונית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שבלעדיה לא ניתן היה לבצע פיגועים כנגד אזרחי המדינה ותושביה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 מדובר בחוליה שולית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במי שנטל חלק פעיל בפעילות הרצחנית של ארגון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העבירות שביצע הנאשם הן בנפשנו והן נוגעות לעצם קיומה של מדינת ישראל ולבטחונם של אזרחיה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תושביה וחייליה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אל לנו לשכוח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אנו מצויים בתקופה שהיא עקובה מדם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וגם בתי המשפט מצווים לנקוט כל אמצעי אשר ביכולם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כדי לצמצם את היקפם של מעשי הטרור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עלינו לצאת במלחמת חורמה כנגד פעולות הטרור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ובזירה המשפטית על ביהמ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ש לעשות כמיטב יכולתו כדי לשבור את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שרשרת המוות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על כל החוליות שבה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מלחמה זו היא על זכותם של אזרחי מדינת ישראל וחייליה לחיות בבטחון בארצם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והנאשם שהיה פעיל בארגון טרור והכין עבור ארגון הטרור חומרי נפץ ומטען חבלה מוכן לפעולה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עלול היה במעשיו לגרום לכך שאנשים רבים מתושבי המדינה או חייליה יפגעו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לאור כל הדברים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הרי שרף הענישה שנתבקש על ידי המאשימה מקובל עלינו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שבמקרה זה ישנן נסיבות מיוחדות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בעטיין אין למצות עם הנאשם את מלוא חומרת הדין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לעניין זה חשובה ביותר העובדה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שהעבירות החמורות אותן עבר הנאשם נעברו לפני כמעט עשור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בסוף 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ולמשך תקופה קצרה של כשלושה חודשים בלבד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מאז הפסיק הנאשם את חברותו בארגון ואף הפסיק את אספקת חומרי הנפץ והמטענים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מיוזמתו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ולא עבר עבירות נוספות עד לשנת </w:t>
      </w:r>
      <w:r>
        <w:rPr>
          <w:rFonts w:cs="Arial" w:ascii="Arial" w:hAnsi="Arial"/>
          <w:lang w:val="en-US" w:eastAsia="en-US"/>
        </w:rPr>
        <w:t>2005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 הסתנן למדינת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הסתננותו הייתה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ועל כך אין מחלוקת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לא לשם ביצוע עבירות – לא עבירות ביטחוניות ולא עבירות פליליות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אלא כדי לעבור לגדה המערבית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יש גם בכך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נסיבה לקולא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אם כי ידועה הסכנה הטמונה בהסתננות של תושבי עזה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דרך גבול מצרים למדינת ישראל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גם כאשר לא הייתה למסתנן כוונה לבצע עבירה בתחומי מדינת ישראל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ניקח בחשבון את חרטתו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את העובדה שאת פעילות הטרור שלו הפסיק כבר בשנת </w:t>
      </w:r>
      <w:r>
        <w:rPr>
          <w:rFonts w:cs="Arial" w:ascii="Arial" w:hAnsi="Arial"/>
          <w:lang w:val="en-US" w:eastAsia="en-US"/>
        </w:rPr>
        <w:t>2001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ואת מצבו המשפחתי המיוחד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כפי שהובא לידיעתנו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>לאור כל האמור לעיל ולאחר שעיינו בפסיקה הענפה שהוגשה על ידי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אנו גוזרים על הנאשם את העונשים הבאים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eastAsia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בפועל למשך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וחצי שנים מיום המעצר – </w:t>
      </w:r>
      <w:r>
        <w:rPr>
          <w:rFonts w:cs="Arial" w:ascii="Arial" w:hAnsi="Arial"/>
          <w:lang w:val="en-US" w:eastAsia="en-US"/>
        </w:rPr>
        <w:t>30/5/06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>.</w:t>
        <w:tab/>
      </w:r>
      <w:r>
        <w:rPr>
          <w:rFonts w:ascii="Arial" w:hAnsi="Arial" w:cs="Arial"/>
          <w:rtl w:val="true"/>
          <w:lang w:val="en-US" w:eastAsia="en-US"/>
        </w:rPr>
        <w:t xml:space="preserve">מאסר על תנאי למשך </w:t>
      </w: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 והתנאי שהנאשם לא יעבור את העבירות בהן הורשע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 כל עבירה כנגד בטחון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תוך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מיום שחרורו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זכות ערעור תוך </w:t>
      </w:r>
      <w:r>
        <w:rPr>
          <w:rFonts w:cs="Arial" w:ascii="Arial" w:hAnsi="Arial"/>
          <w:b/>
          <w:bCs/>
          <w:lang w:val="en-US" w:eastAsia="en-US"/>
        </w:rPr>
        <w:t>45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יום לביהמ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ש העליון</w:t>
      </w:r>
      <w:r>
        <w:rPr>
          <w:rFonts w:cs="Arial" w:ascii="Arial" w:hAnsi="Arial"/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'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באב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12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יולי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הצדדים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 </w:t>
      </w:r>
    </w:p>
    <w:tbl>
      <w:tblPr>
        <w:bidiVisual w:val="true"/>
        <w:tblW w:w="769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2461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4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ץ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61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לפני ס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.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"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ץ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בעניין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/Users/liorb/Downloads/study2025-p2/ME-06-1080-014.doc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1080-06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חסן לאפי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443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32754443&lt;/CaseID&gt;&#10;&#10;        &lt;CaseMonth&gt;19&lt;/CaseMonth&gt;&#10;&#10;        &lt;CaseYear&gt;2006&lt;/CaseYear&gt;&#10;&#10;        &lt;CaseNumber&gt;159770&lt;/CaseNumber&gt;&#10;&#10;        &lt;NumeratorGroupID&gt;1&lt;/NumeratorGroupID&gt;&#10;&#10;        &lt;CaseName&gt;î.é. ôø÷ìéèåú îçåæ ãøåí-ôìéìé ð' ìàôé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6&lt;/PreviousCaseYear&gt;&#10;&#10;        &lt;PreviousCaseNumber&gt;108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80-06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6-07-11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isExistMinorSide&gt;false&lt;/isExistMinorSide&gt;&#10;&#10;        &lt;isExistMinorWitness&gt;false&lt;/isExistMinorWitness&gt;&#10;&#10;        &lt;PreviousCaseIdentifier&gt;055ôç 200600108000&lt;/PreviousCaseIdentifier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7-12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32754443&lt;/CaseID&gt;&#10;&#10;        &lt;CaseMonth&gt;19&lt;/CaseMonth&gt;&#10;&#10;        &lt;CaseYear&gt;2006&lt;/CaseYear&gt;&#10;&#10;        &lt;CaseNumber&gt;159770&lt;/CaseNumber&gt;&#10;&#10;        &lt;NumeratorGroupID&gt;1&lt;/NumeratorGroupID&gt;&#10;&#10;        &lt;CaseName&gt;î.é. ôø÷ìéèåú îçåæ ãøåí-ôìéìé ð' ìàôé(òöéø)&lt;/CaseName&gt;&#10;&#10;        &lt;CourtID&gt;16&lt;/CourtID&gt;&#10;&#10;        &lt;CaseTypeID&gt;10077&lt;/CaseTypeID&gt;&#10;&#10;        &lt;CaseJudgeName&gt;øåéèì éôä ëõ&lt;/CaseJudgeName&gt;&#10;&#10;        &lt;CaseLinkTypeID&gt;10&lt;/CaseLinkTypeID&gt;&#10;&#10;        &lt;ProcedureID&gt;2&lt;/ProcedureID&gt;&#10;&#10;        &lt;PreviousCaseYear&gt;2006&lt;/PreviousCaseYear&gt;&#10;&#10;        &lt;PreviousCaseNumber&gt;1080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80-06&lt;/CaseDisplayIdentifier&gt;&#10;&#10;        &lt;CaseTypeDesc&gt;úô&quot;ç&lt;/CaseTypeDesc&gt;&#10;&#10;        &lt;CourtDesc&gt;äîçåæé áàø ùáò&lt;/CourtDesc&gt;&#10;&#10;        &lt;CaseStageDesc&gt;úé÷ ðééø îåñá&lt;/CaseStageDesc&gt;&#10;&#10;        &lt;CaseNextDeterminingTask&gt;152&lt;/CaseNextDeterminingTask&gt;&#10;&#10;        &lt;CaseOpenDate&gt;2006-07-11T00:00:00.0000000+02:00&lt;/CaseOpenDate&gt;&#10;&#10;        &lt;PleaTypeID&gt;8&lt;/PleaTypeID&gt;&#10;&#10;        &lt;CourtLevelID&gt;2&lt;/CourtLevelID&gt;&#10;&#10;        &lt;CaseJudgeFirstName&gt;éôä&lt;/CaseJudgeFirstName&gt;&#10;&#10;        &lt;CaseJudgeLastName&gt;éôä ëõ&lt;/CaseJudgeLastName&gt;&#10;&#10;        &lt;JudicalPersonID&gt;054303474@GOV.IL&lt;/JudicalPersonID&gt;&#10;&#10;        &lt;IsJudicalPanel&gt;true&lt;/IsJudicalPanel&gt;&#10;&#10;        &lt;CourtDisplayName&gt;áéú äîùôè äîçåæé ááàø ùáò&lt;/CourtDisplayName&gt;&#10;&#10;        &lt;IsAllStartDataCollected&gt;true&lt;/IsAllStartDataCollected&gt;&#10;&#10;        &lt;IsMainCase&gt;false&lt;/IsMainCase&gt;&#10;&#10;        &lt;PreviousCourtID&gt;55&lt;/PreviousCourtID&gt;&#10;&#10;        &lt;PreviousCaseTypeID&gt;74&lt;/PreviousCaseTypeID&gt;&#10;&#10;        &lt;PreviousCaseIdentifier&gt;055ôç 200600108000&lt;/PreviousCaseIdentifier&gt;&#10;&#10;      &lt;/CasePresentationDataSet&gt;&#10;&#10;    &lt;/diffgr:before&gt;&#10;&#10;  &lt;/diffgr:diffgram&gt;&#10;&#10;&lt;/CasePresentationDS&gt;"/>
    <w:docVar w:name="CourtID" w:val="16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382276&lt;/DecisionID&gt;&#10;&#10;        &lt;DecisionName&gt;âæø ãéï  îúàøéê  06/07/10  ùðéúðä ò&quot;é  øåéèì éôä ëõ&lt;/DecisionName&gt;&#10;&#10;        &lt;DecisionStatusID&gt;1&lt;/DecisionStatusID&gt;&#10;&#10;        &lt;DecisionStatusChangeDate&gt;2010-07-12T13:00:56.9700000+02:00&lt;/DecisionStatusChangeDate&gt;&#10;&#10;        &lt;DecisionSignatureDate&gt;2010-07-06T11:16:45.6370000+02:00&lt;/DecisionSignatureDate&gt;&#10;&#10;        &lt;DecisionSignatureUserID&gt;054303474@GOV.IL&lt;/DecisionSignatureUserID&gt;&#10;&#10;        &lt;DecisionCreateDate&gt;2010-07-06T11:22:04.3670000+02:00&lt;/DecisionCreateDate&gt;&#10;&#10;        &lt;DecisionChangeDate&gt;2010-07-12T13:00:57.9870000+02:00&lt;/DecisionChangeDate&gt;&#10;&#10;        &lt;DecisionChangeUserID&gt;054303474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5535445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4303474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4303474@GOV.IL&lt;/DecisionCreationUserID&gt;&#10;&#10;        &lt;DecisionDisplayName&gt;âæø ãéï  îúàøéê  06/07/10  ùðéúðä ò&quot;é  øåéèì éôä ëõ&lt;/DecisionDisplayName&gt;&#10;&#10;        &lt;IsScanned&gt;false&lt;/IsScanned&gt;&#10;&#10;        &lt;DecisionSignatureUserName&gt;øåéèì éôä ëõ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382276&lt;/DecisionID&gt;&#10;&#10;        &lt;CaseID&gt;32754443&lt;/CaseID&gt;&#10;&#10;        &lt;IsOriginal&gt;true&lt;/IsOriginal&gt;&#10;&#10;        &lt;IsDeleted&gt;false&lt;/IsDeleted&gt;&#10;&#10;        &lt;CaseName&gt;î.é. ôø÷ìéèåú îçåæ ãøåí-ôìéìé ð' ìàôé(òöéø)&lt;/CaseName&gt;&#10;&#10;        &lt;CaseDisplayIdentifier&gt;1080-06 úô&quot;ç&lt;/CaseDisplayIdentifier&gt;&#10;&#10;      &lt;/dt_DecisionCase&gt;&#10;&#10;      &lt;dt_DecisionJudgePanel diffgr:id=&quot;dt_DecisionJudgePanel1&quot; msdata:rowOrder=&quot;0&quot;&gt;&#10;&#10;        &lt;DecisionID&gt;72382276&lt;/DecisionID&gt;&#10;&#10;        &lt;JudgeID&gt;054303474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382276&lt;/DecisionID&gt;&#10;&#10;        &lt;JudgeID&gt;065372526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382276&lt;/DecisionID&gt;&#10;&#10;        &lt;JudgeID&gt;030531875@GOV.IL&lt;/JudgeID&gt;&#10;&#10;        &lt;OrdinalNumber&gt;3&lt;/OrdinalNumber&gt;&#10;&#10;      &lt;/dt_DecisionJudgePanel&gt;&#10;&#10;    &lt;/DecisionDS&gt;&#10;&#10;  &lt;/diffgr:diffgram&gt;&#10;&#10;&lt;/DecisionDS&gt;"/>
    <w:docVar w:name="DecisionID" w:val="72382276"/>
    <w:docVar w:name="docID" w:val="95535445"/>
    <w:docVar w:name="judgeUPN" w:val="054303474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54303474@GOV.IL"/>
    <w:docVar w:name="noteDocID" w:val="95535445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3.b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2515" TargetMode="External"/><Relationship Id="rId6" Type="http://schemas.openxmlformats.org/officeDocument/2006/relationships/hyperlink" Target="http://www.nevo.co.il/law/72515/3" TargetMode="External"/><Relationship Id="rId7" Type="http://schemas.openxmlformats.org/officeDocument/2006/relationships/hyperlink" Target="http://www.nevo.co.il/law/72510" TargetMode="External"/><Relationship Id="rId8" Type="http://schemas.openxmlformats.org/officeDocument/2006/relationships/hyperlink" Target="http://www.nevo.co.il/law/72510/2" TargetMode="External"/><Relationship Id="rId9" Type="http://schemas.openxmlformats.org/officeDocument/2006/relationships/hyperlink" Target="http://www.nevo.co.il/law/70301/143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2515/3" TargetMode="External"/><Relationship Id="rId12" Type="http://schemas.openxmlformats.org/officeDocument/2006/relationships/hyperlink" Target="http://www.nevo.co.il/law/72515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2510/2" TargetMode="External"/><Relationship Id="rId18" Type="http://schemas.openxmlformats.org/officeDocument/2006/relationships/hyperlink" Target="http://www.nevo.co.il/law/72510" TargetMode="External"/><Relationship Id="rId19" Type="http://schemas.openxmlformats.org/officeDocument/2006/relationships/hyperlink" Target="http://www.nevo.co.il/case/6137270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2016-07-27T14:43:00Z</dcterms:created>
  <dc:creator> </dc:creator>
  <dc:description/>
  <cp:keywords/>
  <dc:language>en-IL</dc:language>
  <cp:lastModifiedBy>run</cp:lastModifiedBy>
  <cp:lastPrinted>2010-07-12T14:00:00Z</cp:lastPrinted>
  <dcterms:modified xsi:type="dcterms:W3CDTF">2016-07-27T14:43:00Z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לאפי</vt:lpwstr>
  </property>
  <property fmtid="{D5CDD505-2E9C-101B-9397-08002B2CF9AE}" pid="4" name="CASESLISTTMP1">
    <vt:lpwstr>6137270</vt:lpwstr>
  </property>
  <property fmtid="{D5CDD505-2E9C-101B-9397-08002B2CF9AE}" pid="5" name="CITY">
    <vt:lpwstr>ב"ש</vt:lpwstr>
  </property>
  <property fmtid="{D5CDD505-2E9C-101B-9397-08002B2CF9AE}" pid="6" name="DATE">
    <vt:lpwstr>20100712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כ#ץ;א. ואגו;י. צלקובניק</vt:lpwstr>
  </property>
  <property fmtid="{D5CDD505-2E9C-101B-9397-08002B2CF9AE}" pid="10" name="LAWLISTTMP1">
    <vt:lpwstr>70301/143.b;144.b2:2</vt:lpwstr>
  </property>
  <property fmtid="{D5CDD505-2E9C-101B-9397-08002B2CF9AE}" pid="11" name="LAWLISTTMP2">
    <vt:lpwstr>72515/003</vt:lpwstr>
  </property>
  <property fmtid="{D5CDD505-2E9C-101B-9397-08002B2CF9AE}" pid="12" name="LAWLISTTMP3">
    <vt:lpwstr>72510/002</vt:lpwstr>
  </property>
  <property fmtid="{D5CDD505-2E9C-101B-9397-08002B2CF9AE}" pid="13" name="LAWYER">
    <vt:lpwstr>מ. גז;מ. ג'אברין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1080</vt:lpwstr>
  </property>
  <property fmtid="{D5CDD505-2E9C-101B-9397-08002B2CF9AE}" pid="27" name="NEWPARTB">
    <vt:lpwstr/>
  </property>
  <property fmtid="{D5CDD505-2E9C-101B-9397-08002B2CF9AE}" pid="28" name="NEWPARTC">
    <vt:lpwstr>06</vt:lpwstr>
  </property>
  <property fmtid="{D5CDD505-2E9C-101B-9397-08002B2CF9AE}" pid="29" name="NEWPROC">
    <vt:lpwstr>תפח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1080</vt:lpwstr>
  </property>
  <property fmtid="{D5CDD505-2E9C-101B-9397-08002B2CF9AE}" pid="35" name="PROCYEAR">
    <vt:lpwstr>06</vt:lpwstr>
  </property>
  <property fmtid="{D5CDD505-2E9C-101B-9397-08002B2CF9AE}" pid="36" name="PSAKDIN">
    <vt:lpwstr>גזר-דין</vt:lpwstr>
  </property>
  <property fmtid="{D5CDD505-2E9C-101B-9397-08002B2CF9AE}" pid="37" name="RemarkFileName">
    <vt:lpwstr>mechozi me 06 1080 014 htm</vt:lpwstr>
  </property>
  <property fmtid="{D5CDD505-2E9C-101B-9397-08002B2CF9AE}" pid="38" name="TYPE">
    <vt:lpwstr>2</vt:lpwstr>
  </property>
  <property fmtid="{D5CDD505-2E9C-101B-9397-08002B2CF9AE}" pid="39" name="TYPE_ABS_DATE">
    <vt:lpwstr>390020100712</vt:lpwstr>
  </property>
  <property fmtid="{D5CDD505-2E9C-101B-9397-08002B2CF9AE}" pid="40" name="TYPE_N_DATE">
    <vt:lpwstr>39020100712</vt:lpwstr>
  </property>
  <property fmtid="{D5CDD505-2E9C-101B-9397-08002B2CF9AE}" pid="41" name="VOLUME">
    <vt:lpwstr/>
  </property>
  <property fmtid="{D5CDD505-2E9C-101B-9397-08002B2CF9AE}" pid="42" name="WORDNUMPAGES">
    <vt:lpwstr>7</vt:lpwstr>
  </property>
</Properties>
</file>