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Arial" w:ascii="Arial" w:hAnsi="Arial"/>
                <w:b/>
                <w:bCs/>
              </w:rPr>
              <w:t>03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בפברואר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2011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1090-08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אחמד אבו דאהר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לאה צמל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השופטת 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לא כלל הסכמה לעניין העונש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במסגרת האישום הראשון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סמוך לתחילת 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שעבד כנהג מונית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אליו מוניר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המכונה אבו סלאם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צבאי בכיר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כתיבת אלמוג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הידין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ארגון טרוריסטי המשוייך לארגון הפת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ח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שאף הוא ארגון טרוריסטי והוכרז ככזה על ידי ממשלת ישראל בתאריך </w:t>
      </w:r>
      <w:r>
        <w:rPr>
          <w:rFonts w:cs="Arial" w:ascii="Arial" w:hAnsi="Arial"/>
          <w:sz w:val="20"/>
          <w:szCs w:val="20"/>
          <w:lang w:val="en-US" w:eastAsia="en-US"/>
        </w:rPr>
        <w:t>30/1/86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הארגון אף קשור לגדודי חללי אל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-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אקצא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שהוכרז כהתאחדות בלתי מותרת על ידי שר הבטחון בתאריך </w:t>
      </w:r>
      <w:r>
        <w:rPr>
          <w:rFonts w:cs="Arial" w:ascii="Arial" w:hAnsi="Arial"/>
          <w:sz w:val="20"/>
          <w:szCs w:val="20"/>
          <w:lang w:val="en-US" w:eastAsia="en-US"/>
        </w:rPr>
        <w:t>28/11/02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מוניר הציע לנאשם להתגייס לכתיבת אלמוג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הסכים והתגייס לארגון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פעילותו של הנאשם בארגון כללה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הסעת פעילי ארגון 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ובתמורה דאג מוניר לגז עבור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המונע בגז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הנאשם תצפיות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ודיווח למוניר באמצעות מכשיר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bookmarkStart w:id="10" w:name="ABSTRACT_END"/>
      <w:bookmarkEnd w:id="10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לאחר שהנאשם גוייס לכתיבת אלמוג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הגיע לביתו של מוניר שבקרארה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פגש פעילים נוספים של הארגון וביניהם את נאיף אלמקיד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וכולם סיכמו לגרום למותם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באותו היום ובשעות אחר הצהריים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אסף הנאשם את שני הפעילים שהיו בביתו של מוניר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כשכל אחד מהם נושא רובה צלפים מסוג סמינוב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שעליו מותקנת כוונת טלסקופית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והסיע אותם לבית הקברות בשיח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חמודה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שנמצא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מהגבול עם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בהתאם לתכנון המוקדם ירו השניים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שהיו באזור בכדי לגרום למותם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וכשעה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הנחייתו של מוניר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הנאשם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אסף את הפעילים והחזירם לביתו של מוניר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עבירה של סיוע לניסיון לרצח לפי </w:t>
      </w:r>
      <w:hyperlink r:id="rId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9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0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האישום השני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מספר ימים לאחר האירוע נשוא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שוב הגיע הנאשם לביתו של מוניר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ושוב פגש את נאיף ופעילים נוספים בארגון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שני הפעילים נשוא האישום הראשון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שוב סיכמו כל הנוכחים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יקח שני פעילים של הארגון לאזור בית הקברות על מנת שיבצעו פיגוע ירי בצליפה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ובהתאם לסיכום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בשעות אחר הצהריים של אותו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אכן אסף הנאשם את שני הפעילים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שפגש באותו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מביתו של מוניר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הסיע את הפעילים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כשכל אחד מהם נושא רובה צלפים מסוג סמינוב שעליו מותקנת כוונת טלסקופית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לבית הקברות באזור שיח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חמודה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כמוסכם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השניים ירו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שהיו באזור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הרובים שבידם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לגרום למות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וגרמו לפציעתם של שני חיילים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כשעה וחצי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הנחייתו של נאיף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הנאשם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אסף את שני הפעילים והחזירם לביתו של מוניר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של מתן שירות להתאחדות בלתי מותרת לפי 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לתקנות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[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],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במסגרת האישום השלישי של כתב האישום המתוקן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הוא האישום הרביעי בכתב האישום המקורי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מספר ימים לאחר האירוע נשוא האישום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פנה אל מוניר וביקש ממנו להפסיק את פעילותו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מוניר הציע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במסגרת פעילותו בארגון יבצע תצפיות וידווח לו עליהם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הסכים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נתנו מוניר ונאיף לנאשם מכשיר קשר אלחוטי מסוג סינאו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ביצע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במשך שעות היום והערב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תצפיות מביתו ומבית ספר אלמערי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ודיווח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במשך כחודש ימים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מכשיר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פעילות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וכניסת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לרצועת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וביניהם טנקים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מטוסים ועוד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במהלך התקופה בה ביצע הנאשם את התצפיות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לביתו בן משפחתו בשם אמין עמאוי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פעיל בחזית העממית הדמוקרטית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ארגון טרוריסטי לפי הכרזת ממשלה מיום </w:t>
      </w:r>
      <w:r>
        <w:rPr>
          <w:rFonts w:cs="Arial" w:ascii="Arial" w:hAnsi="Arial"/>
          <w:sz w:val="20"/>
          <w:szCs w:val="20"/>
          <w:lang w:val="en-US" w:eastAsia="en-US"/>
        </w:rPr>
        <w:t>30/1/86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וביקש ממנו מכשיר אלחוטי לעריכת תצפיות על תנועת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לאחר שראה בביתו מכשיר דומה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אמר לאמין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המכשיר האלחוטי שנמצא 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שייך לארגון כתיבת אלמוג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והציע לו להצטרף לארגון על מנת לערוך תצפיות על תנועת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ברצועת 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אמין הסכים והצטרף לארגון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נוכח מעשיו אלה הורשע הנאשם בביצוע עבירה של מתן שירות להתאחדות בלתי מותרת לפי 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color w:val="000000"/>
          <w:rtl w:val="true"/>
          <w:lang w:val="en-US" w:eastAsia="en-US"/>
        </w:rPr>
        <w:t>תקנות ההגנה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שעת חירום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חומרת מעשיו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אפשר לראות ממעשי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במי שפעל ממניעים אידיאולוגיים קיצוניים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מרגע הצטרפותו לארגון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בפעילות חמורה ביותר שמטרתה להביא להרג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פעמיים הוא הוביל 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שנשאו עמם כלי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לביצוע ירי צלפים לעבר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ירי שבוצע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באחת מהפעמים אף נפצעו חיילים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הצטרף לארגון הטרור סמוך לתחילת 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ונעצר תקופה לא ארוכה לאחר מכן – בחודש אפריל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פעילותו הייתה קצרה אך בשל מעצרו ולא מכל סיבה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ובמהלכה היה פעיל בארגון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פעילות ענפה ואף הביא להצטרפותו של קרוב משפחתו לארגון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התובעת הוסיפה וציינה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יליד </w:t>
      </w:r>
      <w:r>
        <w:rPr>
          <w:rFonts w:cs="Arial" w:ascii="Arial" w:hAnsi="Arial"/>
          <w:lang w:val="en-US" w:eastAsia="en-US"/>
        </w:rPr>
        <w:t>1966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היה בן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עת הצטרף לארגון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שלא מדובר באדם צעיר בשנים אשר נגרר לפעילות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הפסיקה של בתי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ביקשה התובעת להטיל על הנאשם עונש מאסר בפועל ארוך ומאסר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התובעת צירפה לטיעוניה אסופת פסיקה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לעומתה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הסנגורית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נסיבותיו האישיות של הנאשם ועל אותם אירועים המלמדים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מדובר במי שמהווה סכנה של ממש למדינת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כיום ולא בעת שהיה פעיל בארגון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הסנגורית 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בעבר עבד הנאשם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הפלשתיני ובמסגרת זו אף היה בקשר עם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הישראלי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המטרה העיקרית של תפקידו הייתה לבצע פעולות נגד קבוצות הטרור בתוך 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היה לו איש קשר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הישראלי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לא פגש פנים מול פנים אלא שוחח עמו טלפונית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הייתה זהות של המטרות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של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הישראלי ושל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הפלשתיני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שעבד כנהג מונית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הסכים להצטרף לארגון הטרור לבקשתו של מוניר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הסיע פעמיים פעילים שאינו מכיר לבית קברות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אותם פעילים ירו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הסיע אותם חזרה אל המקום ממנו לקח אותם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בהתאם להוראות שקיבל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דיווח על פעולותיו אלה לרשות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ממילא שיתפה בכך גם את ישראל ובכל מקרה הוא עזב את הפעילים ולא היה שותף לירי עצמו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 ועוד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ביקש להפסיק את פעילותו מיוזמתו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לא רצה להיות מעורב בפעילות ממשית ובפועל כנגד חיילים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ומשמוניר הסכים לבקשתו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כפשרה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הסכים לדווח על פעילות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לאחר תצפיות שביצע מביתו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למשך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כבר נמצא במעצר במשך כשנתיים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בן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בתו הבוגרת לומדת באוניברסיטה לימודי תרבות בעזה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בעת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נהרס ביתו על ידי כוחות הבטחון וכיום משפחתו מתגוררת באוהל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הסנגורית צרפה מסמך מהצלב האדום – נ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/</w:t>
      </w:r>
      <w:r>
        <w:rPr>
          <w:rFonts w:cs="Arial" w:ascii="Arial" w:hAnsi="Arial"/>
          <w:sz w:val="20"/>
          <w:szCs w:val="20"/>
          <w:lang w:val="en-US" w:eastAsia="en-US"/>
        </w:rPr>
        <w:t>1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אם כי מהמסמך לא עולה מי היא המשפחה הנזקקת לאותם פריטים המצויינים בטופס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 סברה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ניתן להסתפק בתקופת מעצרו של הנאשם כתקופת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צרפה פסיקה שיש 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להבנתה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לתמוך בעמדה העונשית שביקשה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הנאשם פנה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ואף הוא סיפר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מאז שנת </w:t>
      </w:r>
      <w:r>
        <w:rPr>
          <w:rFonts w:cs="Arial" w:ascii="Arial" w:hAnsi="Arial"/>
          <w:lang w:val="en-US" w:eastAsia="en-US"/>
        </w:rPr>
        <w:t>98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עבד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הפלשתיני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עבד בשרות בתי הסוהר הפלשתיני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במסגרת עבודתו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נפגש עם קצין האזור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שטען שהוא שמח לראות כי בריאותו טובה גם לאחר השתלטות החמא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 על הרצועה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מאז 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פעיל במאבק בטרור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סודי שגם לאחר המהפכה בעזה עבד בשיתוף פעולה בטחוני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דרך המפקדה ברמאללה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עם הרשות הפלשתינית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והמשיך בעבודה זו עד ליום בו נעצר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אף ציין והדגיש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מאז היותו כבן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עבד בישראל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והכל היה מסודר ולא היו בעיות עד שהרשות הגיעה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חזר וסיפר על הרס ביתו והרס בתי בני משפחתו ואחיו בעת שהותו בכלא הישראלי על ידי כוחות הבטחון הישראליים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סיפר כי משפחתו גרה באוהל וכי אשתו נפלה לאחרונה ושברה את רגלה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לדון אותו במידת הרחמים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אמנם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ביקשה לתאר את מעשיו של הנאשם כמינוריים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כן הדבר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הורשע בעבירות חמורות הפוגעות בבטחון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סייע לפעילים של ארגוני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שהצטרף לארגון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בפעילות ממשית כנגד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באחת הפעמים אף נפגעו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כתוצאה מירי של הפעילים אותם הוביל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גם ביצע תצפיות לעבר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ודיווח על ממצאיו לארגון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ובהזדמנות אחרת אף דאג לצרף בן משפחתו כחבר בארגון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תקופת פעילותו של הנאשם הייתה קצרה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ובמהלך ראשית 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פעילותו הופסקה עם מעצרו ולא בשל חרטה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הפסיק לבצע הובלה של פעילים אחרים בארגון הטרור לפעילות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המשיך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ליום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להעביר דיווחים לארגון הטרור על פעילות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שיוכלו להמשיך ולבצע את הפעולות הפוגעניות והרצחניות של הארגון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באזור רצועת עזה מתקיימת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זה תקופה ארוכה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מתקפת טרור מתמשכת המכוונת כנגד אזרחי מדינת ישראל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פיגועים וניסיונות 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המכוונים נגד אזרחים וחיילים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במעברי הגבול שבין רצועת עזה למדינת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לאורך גדר המערכת ואף בתוך שטח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עניין שבשגרה לארגוני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במציאות מסוכנת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נתן הנאשם ידו לפעילי טרור ואיפשר ירי של צלפים לעבר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באחת הפעמים אף נפצעו חיילים מירי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מהאישום השלישי נשוא כתב האישום בו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ללמוד על נכונותו של הנאשם להמשיך בפעילות תומכת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עוצמת הסיכון הנשקפת ממעשי הנאשם מחייבת ענישה ההולמת את חומרת העבירות ואשר יהיה בה משום מסר ברור של הרתעה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אמנם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להתעלם מהנסיבות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שאלה פורטו על ידי הנאשם עצמו ועל ידי באת כוחו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ואמנם הנאשם לא היה זה אשר הנהיג את החוליה במסגרתה הוא פעל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בעבר בקשר עם גורמי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ישראליים במסגרת עבודתו בשב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הפלשתיני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אולם מרגע שהצטרף לארגון הטרור והיה שותף מלא לתכנון ושותף </w:t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rtl w:val="true"/>
          <w:lang w:val="en-US" w:eastAsia="en-US"/>
        </w:rPr>
        <w:t>חלקי לביצוע של פעולות הטרור כנגד מדינת ישראל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גוברים השיקולים שבאינטרס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הציבורי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דווקא הוא היה צריך לדעת עד כמה חמורים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באמת בעבר נלחם כנגד פעולות טרור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גם באשר לאורך תקופת הפעילות של הנאשם יש ממש בדברי התובעת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היה פעיל כנגד בטחון מדינת ישראל תקופה של מספר חודשים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ואומנם ביקש להפסיק את הפעילות האקטיבית מצידו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פעילותו נמשכה גם במסגרת אותם תצפיות ודיווחים לארגון הטרור על פעילות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 והופסקה רק לאחר מעצרו ובעקבות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החליט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מדעת ומרצון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להצטרף לארגון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שם לו למטרה לפגוע באזרחי מדינת ישראל ובחייליה ממניעים לאומניים והיווה אחת החוליות בשרשרת הטרור בכל המעשים שביצע – אם בהסעת הפעילים על נשקם לביצוע ירי כלפי חיילים ואם באיסוף מידע חיוני לפעילות הטרוריסטית באמצעות תצפיות לצורך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הכשרת הקרקע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להוצאת פיגועים בגדר הגבול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מעשים אלה קשים וחמורים ויש להעניש בגינם בחומרה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נוכח כל האמור לעיל אנו גוזרים על הנאשם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מעצרו – </w:t>
      </w:r>
      <w:r>
        <w:rPr>
          <w:rFonts w:cs="Arial" w:ascii="Arial" w:hAnsi="Arial"/>
          <w:lang w:val="en-US" w:eastAsia="en-US"/>
        </w:rPr>
        <w:t>15/4/08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בשבט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לפברואר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284" w:bottom="3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1090-08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דאהר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22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22&lt;/CaseID&gt;&#10;&#10;        &lt;CaseMonth&gt;17&lt;/CaseMonth&gt;&#10;&#10;        &lt;CaseYear&gt;2008&lt;/CaseYear&gt;&#10;&#10;        &lt;CaseNumber&gt;11065155&lt;/CaseNumber&gt;&#10;&#10;        &lt;NumeratorGroupID&gt;1&lt;/NumeratorGroupID&gt;&#10;&#10;        &lt;CaseName&gt;î.é. ôø÷ìéèåú îçåæ ãøåí-ôìéìé ð' àáå ãàäø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09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90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5-19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3/10/10 ðùìçä ìá&quot;ë äöããéí,&lt;/CaseDesc&gt;&#10;&#10;        &lt;isExistMinorSide&gt;false&lt;/isExistMinorSide&gt;&#10;&#10;        &lt;isExistMinorWitness&gt;false&lt;/isExistMinorWitness&gt;&#10;&#10;        &lt;PreviousCaseIdentifier&gt;055ôç 2008001090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1-02-03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22&lt;/CaseID&gt;&#10;&#10;        &lt;CaseMonth&gt;17&lt;/CaseMonth&gt;&#10;&#10;        &lt;CaseYear&gt;2008&lt;/CaseYear&gt;&#10;&#10;        &lt;CaseNumber&gt;11065155&lt;/CaseNumber&gt;&#10;&#10;        &lt;NumeratorGroupID&gt;1&lt;/NumeratorGroupID&gt;&#10;&#10;        &lt;CaseName&gt;î.é. ôø÷ìéèåú îçåæ ãøåí-ôìéìé ð' àáå ãàäø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09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90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5-19T00:00:00.0000000+02:00&lt;/CaseOpenDate&gt;&#10;&#10;        &lt;PleaTypeID&gt;8&lt;/PleaTypeID&gt;&#10;&#10;        &lt;CourtLevelID&gt;2&lt;/CourtLevelID&gt;&#10;&#10;        &lt;CaseJudgeFirstName&gt;øåéèì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CaseDesc&gt;äçìèä îéåí 3/10/10 ðùìçä ìá&quot;ë äöããéí,&lt;/CaseDesc&gt;&#10;&#10;        &lt;PreviousCaseIdentifier&gt;055ôç 2008001090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4412539&lt;/DecisionID&gt;&#10;&#10;        &lt;DecisionName&gt;âæø ãéï  îúàøéê  03/01/11  ùðéúðä ò&quot;é  øåéèì éôä ëõ&lt;/DecisionName&gt;&#10;&#10;        &lt;DecisionStatusID&gt;1&lt;/DecisionStatusID&gt;&#10;&#10;        &lt;DecisionStatusChangeDate&gt;2011-01-09T08:39:27.0470000+02:00&lt;/DecisionStatusChangeDate&gt;&#10;&#10;        &lt;DecisionSignatureDate&gt;2011-01-03T10:04:49.2730000+02:00&lt;/DecisionSignatureDate&gt;&#10;&#10;        &lt;DecisionSignatureUserID&gt;054303474@GOV.IL&lt;/DecisionSignatureUserID&gt;&#10;&#10;        &lt;DecisionCreateDate&gt;2011-01-03T10:09:55.9630000+02:00&lt;/DecisionCreateDate&gt;&#10;&#10;        &lt;DecisionChangeDate&gt;2011-01-09T08:39:28.453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08383934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03/01/11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4412539&lt;/DecisionID&gt;&#10;&#10;        &lt;CaseID&gt;32754622&lt;/CaseID&gt;&#10;&#10;        &lt;IsOriginal&gt;true&lt;/IsOriginal&gt;&#10;&#10;        &lt;IsDeleted&gt;false&lt;/IsDeleted&gt;&#10;&#10;        &lt;CaseName&gt;î.é. ôø÷ìéèåú îçåæ ãøåí-ôìéìé ð' àáå ãàäø(òöéø)&lt;/CaseName&gt;&#10;&#10;        &lt;CaseDisplayIdentifier&gt;1090-08 úô&quot;ç&lt;/CaseDisplayIdentifier&gt;&#10;&#10;      &lt;/dt_DecisionCase&gt;&#10;&#10;      &lt;dt_DecisionJudgePanel diffgr:id=&quot;dt_DecisionJudgePanel1&quot; msdata:rowOrder=&quot;0&quot;&gt;&#10;&#10;        &lt;DecisionID&gt;74412539&lt;/DecisionID&gt;&#10;&#10;        &lt;JudgeID&gt;054303474@GOV.IL&lt;/JudgeID&gt;&#10;&#10;        &lt;SignatureDate&gt;2011-01-03T16:38:24.8200000+02:00&lt;/SignatureDate&gt;&#10;&#10;        &lt;OrdinalNumber&gt;1&lt;/OrdinalNumber&gt;&#10;&#10;      &lt;/dt_DecisionJudgePanel&gt;&#10;&#10;      &lt;dt_DecisionJudgePanel diffgr:id=&quot;dt_DecisionJudgePanel2&quot; msdata:rowOrder=&quot;1&quot;&gt;&#10;&#10;        &lt;DecisionID&gt;74412539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4412539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4412539"/>
    <w:docVar w:name="docID" w:val="108383934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0838393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3729/85.1.c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3729/85.1.c" TargetMode="External"/><Relationship Id="rId12" Type="http://schemas.openxmlformats.org/officeDocument/2006/relationships/hyperlink" Target="http://www.nevo.co.il/law/73729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3729/85.1.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2020-03-31T10:56:00Z</dcterms:created>
  <dc:creator> </dc:creator>
  <dc:description/>
  <cp:keywords/>
  <dc:language>en-IL</dc:language>
  <cp:lastModifiedBy>hofit</cp:lastModifiedBy>
  <cp:lastPrinted>2011-01-06T14:28:00Z</cp:lastPrinted>
  <dcterms:modified xsi:type="dcterms:W3CDTF">2020-03-31T10:56:00Z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אבו דאהר</vt:lpwstr>
  </property>
  <property fmtid="{D5CDD505-2E9C-101B-9397-08002B2CF9AE}" pid="4" name="CITY">
    <vt:lpwstr>ב"ש</vt:lpwstr>
  </property>
  <property fmtid="{D5CDD505-2E9C-101B-9397-08002B2CF9AE}" pid="5" name="DATE">
    <vt:lpwstr>20110203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יפה כ#ץ;א. ואגו;י. צלקובניק</vt:lpwstr>
  </property>
  <property fmtid="{D5CDD505-2E9C-101B-9397-08002B2CF9AE}" pid="9" name="LAWLISTTMP1">
    <vt:lpwstr>70301/305.1;031;144.b</vt:lpwstr>
  </property>
  <property fmtid="{D5CDD505-2E9C-101B-9397-08002B2CF9AE}" pid="10" name="LAWLISTTMP2">
    <vt:lpwstr>73729/085.1.c:2</vt:lpwstr>
  </property>
  <property fmtid="{D5CDD505-2E9C-101B-9397-08002B2CF9AE}" pid="11" name="LAWYER">
    <vt:lpwstr>לאה צמל;מורן גז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1090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1090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1090 228 htm</vt:lpwstr>
  </property>
  <property fmtid="{D5CDD505-2E9C-101B-9397-08002B2CF9AE}" pid="36" name="TYPE">
    <vt:lpwstr>2</vt:lpwstr>
  </property>
  <property fmtid="{D5CDD505-2E9C-101B-9397-08002B2CF9AE}" pid="37" name="TYPE_ABS_DATE">
    <vt:lpwstr>390020110203</vt:lpwstr>
  </property>
  <property fmtid="{D5CDD505-2E9C-101B-9397-08002B2CF9AE}" pid="38" name="TYPE_N_DATE">
    <vt:lpwstr>39020110203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