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4"/>
        <w:gridCol w:w="7606"/>
      </w:tblGrid>
      <w:tr>
        <w:trPr>
          <w:trHeight w:val="29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760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השופטת  רויטל יפה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נשיא – 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                    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1142-07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אריאל ואגו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יורם צלקובניק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  <w:lang w:val="en-US" w:eastAsia="en-US"/>
        </w:rPr>
      </w:pPr>
      <w:bookmarkStart w:id="0" w:name="LastJudge"/>
      <w:bookmarkEnd w:id="0"/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 </w:t>
      </w:r>
    </w:p>
    <w:p>
      <w:pPr>
        <w:pStyle w:val="Normal"/>
        <w:ind w:start="1130" w:end="0"/>
        <w:jc w:val="both"/>
        <w:rPr>
          <w:rFonts w:ascii="Arial" w:hAnsi="Arial" w:cs="Arial"/>
          <w:b/>
          <w:bCs/>
          <w:color w:val="000000"/>
          <w:lang w:val="en-US" w:eastAsia="en-US"/>
        </w:rPr>
      </w:pPr>
      <w:r>
        <w:rPr>
          <w:rFonts w:cs="Arial" w:ascii="Arial" w:hAnsi="Arial"/>
          <w:b/>
          <w:bCs/>
          <w:color w:val="000000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4"/>
        <w:gridCol w:w="3835"/>
        <w:gridCol w:w="3771"/>
      </w:tblGrid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מדינת ישראל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 – 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0"/>
              <w:snapToGrid w:val="false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</w:r>
          </w:p>
          <w:p>
            <w:pPr>
              <w:pStyle w:val="Normal"/>
              <w:bidi w:val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</w:r>
          </w:p>
          <w:p>
            <w:pPr>
              <w:pStyle w:val="Normal"/>
              <w:bidi w:val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bidi w:val="0"/>
              <w:snapToGrid w:val="false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6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83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עבדאללה נחאל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 לאה צמל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eastAsia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                            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12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Normal"/>
        <w:ind w:start="113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1945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92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1954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start="113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7" w:name="LawTable_End"/>
      <w:bookmarkStart w:id="8" w:name="LawTable_End"/>
      <w:bookmarkEnd w:id="8"/>
    </w:p>
    <w:p>
      <w:pPr>
        <w:pStyle w:val="Normal"/>
        <w:ind w:start="113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start="1130" w:end="0"/>
        <w:jc w:val="both"/>
        <w:rPr>
          <w:rFonts w:ascii="Arial" w:hAnsi="Arial" w:cs="Arial"/>
          <w:b/>
          <w:bCs/>
          <w:color w:val="000000"/>
          <w:lang w:val="en-US" w:eastAsia="en-US"/>
        </w:rPr>
      </w:pPr>
      <w:r>
        <w:rPr>
          <w:rFonts w:cs="Arial" w:ascii="Arial" w:hAnsi="Arial"/>
          <w:b/>
          <w:bCs/>
          <w:color w:val="000000"/>
          <w:rtl w:val="true"/>
          <w:lang w:val="en-US" w:eastAsia="en-US"/>
        </w:rPr>
      </w:r>
    </w:p>
    <w:p>
      <w:pPr>
        <w:pStyle w:val="Normal"/>
        <w:ind w:start="1130" w:end="0"/>
        <w:jc w:val="both"/>
        <w:rPr>
          <w:rFonts w:ascii="Arial" w:hAnsi="Arial" w:cs="Arial"/>
          <w:b/>
          <w:bCs/>
          <w:color w:val="000000"/>
          <w:lang w:val="en-US" w:eastAsia="en-US"/>
        </w:rPr>
      </w:pPr>
      <w:r>
        <w:rPr>
          <w:rFonts w:cs="Arial" w:ascii="Arial" w:hAnsi="Arial"/>
          <w:b/>
          <w:bCs/>
          <w:color w:val="000000"/>
          <w:rtl w:val="true"/>
          <w:lang w:val="en-US" w:eastAsia="en-US"/>
        </w:rPr>
      </w:r>
    </w:p>
    <w:p>
      <w:pPr>
        <w:pStyle w:val="Normal"/>
        <w:ind w:start="1130" w:end="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rtl w:val="true"/>
          <w:lang w:val="en-US" w:eastAsia="en-US"/>
        </w:rPr>
      </w:r>
    </w:p>
    <w:p>
      <w:pPr>
        <w:pStyle w:val="Normal"/>
        <w:ind w:start="1130" w:end="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rtl w:val="true"/>
          <w:lang w:val="en-US" w:eastAsia="en-US"/>
        </w:rPr>
      </w:r>
    </w:p>
    <w:p>
      <w:pPr>
        <w:pStyle w:val="Normal"/>
        <w:ind w:start="1130" w:end="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color w:val="000000"/>
          <w:sz w:val="32"/>
          <w:sz w:val="32"/>
          <w:szCs w:val="32"/>
          <w:u w:val="single"/>
          <w:rtl w:val="true"/>
          <w:lang w:val="en-US" w:eastAsia="en-US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u w:val="single"/>
          <w:rtl w:val="true"/>
          <w:lang w:val="en-US" w:eastAsia="en-US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כב</w:t>
      </w: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השופט א</w:t>
      </w: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ואגו</w:t>
      </w: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u w:val="single"/>
          <w:lang w:val="en-US" w:eastAsia="en-US"/>
        </w:rPr>
      </w:pP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bookmarkStart w:id="12" w:name="ABSTRACT_START"/>
      <w:bookmarkEnd w:id="12"/>
      <w:r>
        <w:rPr>
          <w:rFonts w:ascii="Arial" w:hAnsi="Arial" w:cs="Arial"/>
          <w:color w:val="000000"/>
          <w:rtl w:val="true"/>
          <w:lang w:val="en-US" w:eastAsia="en-US"/>
        </w:rPr>
        <w:t>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תושב רפיח ברצועת עזה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יליד </w:t>
      </w:r>
      <w:r>
        <w:rPr>
          <w:rFonts w:cs="Arial" w:ascii="Arial" w:hAnsi="Arial"/>
          <w:color w:val="000000"/>
          <w:lang w:val="en-US" w:eastAsia="en-US"/>
        </w:rPr>
        <w:t>1985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הורשע בשורה של עבירות נגד ביטחון המדינה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וזאת במסגרת הסדר טיעון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שהושג לאחר תחילת שלב ההוכחות במשפטו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הסדר אשר כלל גם הסכמה חלקית במישור העונש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בעקבות ההגעה להסדר הטיעון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הודה הנאשם בעובדות שבכתב אישום מתוקן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שהוגש נגדו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ואולם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שאלת סעיפי החיקוק שיש להרשיעו בהם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בעקבות הודאה זו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נותרו במחלוקת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בחלק מפרטי האישום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ועל כך ניתנה הכרעת דין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לאחר שהצדדים סיכמו טענותיהם לנדון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בהכרעת הדין נקבע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שיש להרשיע את הנאשם באותם סעיפי חוק שהמאשימה טענה להם בכתב האישום המתוקן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האישום הראשון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 – עניינו בכך שבשנת </w:t>
      </w:r>
      <w:r>
        <w:rPr>
          <w:rFonts w:cs="Arial" w:ascii="Arial" w:hAnsi="Arial"/>
          <w:color w:val="000000"/>
          <w:lang w:val="en-US" w:eastAsia="en-US"/>
        </w:rPr>
        <w:t>2005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היה הנאשם בקשר עם פעיל של ארגון טרור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ועדות ההתנגדות העממית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ושמו מוחמד ג</w:t>
      </w:r>
      <w:r>
        <w:rPr>
          <w:rFonts w:cs="Arial" w:ascii="Arial" w:hAnsi="Arial"/>
          <w:color w:val="000000"/>
          <w:rtl w:val="true"/>
          <w:lang w:val="en-US" w:eastAsia="en-US"/>
        </w:rPr>
        <w:t>'</w:t>
      </w:r>
      <w:r>
        <w:rPr>
          <w:rFonts w:ascii="Arial" w:hAnsi="Arial" w:cs="Arial"/>
          <w:color w:val="000000"/>
          <w:rtl w:val="true"/>
          <w:lang w:val="en-US" w:eastAsia="en-US"/>
        </w:rPr>
        <w:t>ודה ולאחר שהנאשם הביע רצון לבצע פיגוע התאבדות בישראל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הפגישו ג</w:t>
      </w:r>
      <w:r>
        <w:rPr>
          <w:rFonts w:cs="Arial" w:ascii="Arial" w:hAnsi="Arial"/>
          <w:color w:val="000000"/>
          <w:rtl w:val="true"/>
          <w:lang w:val="en-US" w:eastAsia="en-US"/>
        </w:rPr>
        <w:t>'</w:t>
      </w:r>
      <w:r>
        <w:rPr>
          <w:rFonts w:ascii="Arial" w:hAnsi="Arial" w:cs="Arial"/>
          <w:color w:val="000000"/>
          <w:rtl w:val="true"/>
          <w:lang w:val="en-US" w:eastAsia="en-US"/>
        </w:rPr>
        <w:t>ודה עם מפקד בארגון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עימאד חמאד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שהודיע לו שכאשר יהיה צורך במפגע הוא יזמן אותו לשם 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בהמשך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קיבל הנאשם ספרי הדרכה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נפגש עם פעילים שונים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ועבר אימונים צבאיים תאורטיים בפירוק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הרכבה וירי בכלי נשק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בגין כך הורשע בחברות בהתאחדות בלתי מותרת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לתקנות ההגנה שעות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1945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,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ואימונים צבאיים אסורים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לתקנות ההגנה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האישום השני</w:t>
      </w: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  <w:t xml:space="preserve">: </w:t>
      </w:r>
      <w:r>
        <w:rPr>
          <w:rFonts w:ascii="Arial" w:hAnsi="Arial" w:cs="Arial"/>
          <w:color w:val="000000"/>
          <w:rtl w:val="true"/>
          <w:lang w:val="en-US" w:eastAsia="en-US"/>
        </w:rPr>
        <w:t>עניינו בכך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שבשנת </w:t>
      </w:r>
      <w:r>
        <w:rPr>
          <w:rFonts w:cs="Arial" w:ascii="Arial" w:hAnsi="Arial"/>
          <w:color w:val="000000"/>
          <w:lang w:val="en-US" w:eastAsia="en-US"/>
        </w:rPr>
        <w:t>2006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התבקש הנאשם על ידי מוחמד הנ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ל לערוך תצפיות על כוחות צה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במסגרת הכנות לביצוע כלשהו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אך לאחר שלוש שעות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משלא נמצא יעד צבאי מתאים לתצפית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חזר הנאשם לרפיח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בגין כך הוא הורשע בקשירת קשר למסירת ידיעות לאוייב בכוונה לפגוע בביטחון המדינה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92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+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111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(</w:t>
      </w:r>
      <w:r>
        <w:rPr>
          <w:rFonts w:ascii="Arial" w:hAnsi="Arial" w:cs="Arial"/>
          <w:color w:val="000000"/>
          <w:rtl w:val="true"/>
          <w:lang w:val="en-US" w:eastAsia="en-US"/>
        </w:rPr>
        <w:t>חלופה שלישית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) 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hyperlink r:id="rId20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תשל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ז – </w:t>
      </w:r>
      <w:r>
        <w:rPr>
          <w:rFonts w:cs="Arial" w:ascii="Arial" w:hAnsi="Arial"/>
          <w:color w:val="000000"/>
          <w:lang w:val="en-US" w:eastAsia="en-US"/>
        </w:rPr>
        <w:t>1977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וניסיון למסירת ידיעות לאוייב לפי הסעיף הזה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האישום השלישי</w:t>
      </w: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  <w:t xml:space="preserve">: </w:t>
      </w:r>
      <w:r>
        <w:rPr>
          <w:rFonts w:ascii="Arial" w:hAnsi="Arial" w:cs="Arial"/>
          <w:color w:val="000000"/>
          <w:rtl w:val="true"/>
          <w:lang w:val="en-US" w:eastAsia="en-US"/>
        </w:rPr>
        <w:t>עניינו בכך שהנאשם החל בהכנות לפיגוע 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באוגוסט </w:t>
      </w:r>
      <w:r>
        <w:rPr>
          <w:rFonts w:cs="Arial" w:ascii="Arial" w:hAnsi="Arial"/>
          <w:color w:val="000000"/>
          <w:lang w:val="en-US" w:eastAsia="en-US"/>
        </w:rPr>
        <w:t>2007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הוא זומן למפקדים בארגון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הונחה להודיע למשפחתו שיעדר מהבית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קיבל כסף לקניית בגדים ואביזרים שיאפשרו לו להיראות כישראלי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התבקש לקחת עימו חגורת נפץ ולהיכנס לישראל  דרך מצרים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לשם פיגוע התאבדות בבאר שבע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והוא הסכים לכך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הגם שהחל לחוש פקפוק ברצון ההתאבדות שהיה לו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הוא הסכים להצטלם בוידיאו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לקרוא צוואה שכתב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קיבל חגורת נפץ והדרכה להפעלתה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וכן מכשירי טלפון נייד והוראות בדבר דרכי התקשרות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מועד מעבר גבול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ופעולות אחרות לקידום התוכנית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בשל האמור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הוא הורשע בקשירת קשר לפשע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hyperlink r:id="rId22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ועבירות נשק </w:t>
      </w:r>
      <w:r>
        <w:rPr>
          <w:rFonts w:cs="Arial" w:ascii="Arial" w:hAnsi="Arial"/>
          <w:color w:val="000000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rtl w:val="true"/>
          <w:lang w:val="en-US" w:eastAsia="en-US"/>
        </w:rPr>
        <w:t>נשיאת נשק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)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לחוק הנ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r>
        <w:rPr>
          <w:rFonts w:cs="Arial" w:ascii="Arial" w:hAnsi="Arial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  <w:lang w:val="en-US" w:eastAsia="en-US"/>
        </w:rPr>
        <w:t>האישום הרביעי</w:t>
      </w:r>
      <w:r>
        <w:rPr>
          <w:rFonts w:cs="Arial" w:ascii="Arial" w:hAnsi="Arial"/>
          <w:b/>
          <w:bCs/>
          <w:color w:val="000000"/>
          <w:u w:val="single"/>
          <w:rtl w:val="true"/>
          <w:lang w:val="en-US" w:eastAsia="en-US"/>
        </w:rPr>
        <w:t xml:space="preserve">: </w:t>
      </w:r>
      <w:r>
        <w:rPr>
          <w:rFonts w:ascii="Arial" w:hAnsi="Arial" w:cs="Arial"/>
          <w:color w:val="000000"/>
          <w:rtl w:val="true"/>
          <w:lang w:val="en-US" w:eastAsia="en-US"/>
        </w:rPr>
        <w:t>עניינו הניסיון להוציא אל הפועל את פיגוע ההתאבדות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הנאשם ניסה לעבור את גבול מצרים 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- </w:t>
      </w:r>
      <w:r>
        <w:rPr>
          <w:rFonts w:ascii="Arial" w:hAnsi="Arial" w:cs="Arial"/>
          <w:color w:val="000000"/>
          <w:rtl w:val="true"/>
          <w:lang w:val="en-US" w:eastAsia="en-US"/>
        </w:rPr>
        <w:t>ישראל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לאחר שעבר לסיני מרפיח במנהרה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וזאת ביום </w:t>
      </w:r>
      <w:r>
        <w:rPr>
          <w:rFonts w:cs="Arial" w:ascii="Arial" w:hAnsi="Arial"/>
          <w:color w:val="000000"/>
          <w:lang w:val="en-US" w:eastAsia="en-US"/>
        </w:rPr>
        <w:t>30.8.07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אולם לא הצליח לחצות את הגבול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אותה עת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הוא היה מגולח ונושא על גופו את חגורת הנפץ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הוא ניסה שוב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והפעם הצליח לחצות את הגבול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ביום </w:t>
      </w:r>
      <w:r>
        <w:rPr>
          <w:rFonts w:cs="Arial" w:ascii="Arial" w:hAnsi="Arial"/>
          <w:color w:val="000000"/>
          <w:lang w:val="en-US" w:eastAsia="en-US"/>
        </w:rPr>
        <w:t>3.9.07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כשהוא מלווה באדם נוסף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לאחר חצי שעה של שהייה בשטח ישראל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נאספו השניים בטנדר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ולאחר נסיעה של חצי קילומטר הרכב נעצר על ידי כוחות הביטחון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הנאשם ירד מהטנדר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כאשר הוא מרים את ידיו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והותיר את חגורת הנפץ ברכב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לאחר שהתבקש  לחזור לטנדר ולהביא את חגורת הנפץ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פוצצו אותה אנשי הביטחון במקום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 xml:space="preserve">בשל האמור באישום זה הורשע הנאשם בניסיון לרצח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hyperlink r:id="rId2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עבירות נשק </w:t>
      </w:r>
      <w:r>
        <w:rPr>
          <w:rFonts w:cs="Arial" w:ascii="Arial" w:hAnsi="Arial"/>
          <w:color w:val="000000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rtl w:val="true"/>
          <w:lang w:val="en-US" w:eastAsia="en-US"/>
        </w:rPr>
        <w:t>נשיאת נשק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)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לחוק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ניסיון להסתננות מזויינת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hyperlink r:id="rId2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עבירות ושיפוט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תשי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ד – </w:t>
      </w:r>
      <w:r>
        <w:rPr>
          <w:rFonts w:cs="Arial" w:ascii="Arial" w:hAnsi="Arial"/>
          <w:color w:val="000000"/>
          <w:lang w:val="en-US" w:eastAsia="en-US"/>
        </w:rPr>
        <w:t>1954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+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לחוק העונשין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הסתננות מזויינת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לחוק למניעת הסתננות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עבירה של ביצוע עבירת פשע </w:t>
      </w:r>
      <w:r>
        <w:rPr>
          <w:rFonts w:cs="Arial" w:ascii="Arial" w:hAnsi="Arial"/>
          <w:color w:val="000000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rtl w:val="true"/>
          <w:lang w:val="en-US" w:eastAsia="en-US"/>
        </w:rPr>
        <w:t>נשיאת נשק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) </w:t>
      </w:r>
      <w:r>
        <w:rPr>
          <w:rFonts w:ascii="Arial" w:hAnsi="Arial" w:cs="Arial"/>
          <w:color w:val="000000"/>
          <w:rtl w:val="true"/>
          <w:lang w:val="en-US" w:eastAsia="en-US"/>
        </w:rPr>
        <w:t>על ידי מסתנן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לחוק למניעת הסתננות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וניסיון לביצוע עבירת פשע </w:t>
      </w:r>
      <w:r>
        <w:rPr>
          <w:rFonts w:cs="Arial" w:ascii="Arial" w:hAnsi="Arial"/>
          <w:color w:val="000000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rtl w:val="true"/>
          <w:lang w:val="en-US" w:eastAsia="en-US"/>
        </w:rPr>
        <w:t>רצח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) </w:t>
      </w:r>
      <w:r>
        <w:rPr>
          <w:rFonts w:ascii="Arial" w:hAnsi="Arial" w:cs="Arial"/>
          <w:color w:val="000000"/>
          <w:rtl w:val="true"/>
          <w:lang w:val="en-US" w:eastAsia="en-US"/>
        </w:rPr>
        <w:t>על ידי מסתנן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לחוק למניעת הסתננות</w:t>
        </w:r>
      </w:hyperlink>
      <w:r>
        <w:rPr>
          <w:rFonts w:ascii="Arial" w:hAnsi="Arial" w:cs="Arial"/>
          <w:color w:val="000000"/>
          <w:rtl w:val="true"/>
          <w:lang w:val="en-US" w:eastAsia="en-US"/>
        </w:rPr>
        <w:t xml:space="preserve"> 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+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לחוק העונשין</w:t>
        </w:r>
      </w:hyperlink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ניתן לתמצת ולקבוע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שמעבר לעבירת הביטחון של ביצוע תצפית באזור הגבול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שלא הניבה כל פרי מודיעיני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עוסק כתב האישום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וזה עניינו המרכזי של התיק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בהכנות ובניסיון להוציא אל הפועל פיגוע התאבדות בבאר שבע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בעזרת חגורת נפץ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פיגוע שסוכל על ידי כוחות הביטחון של ישראל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כאשר הנאשם כבר עושה את דרכו ברכב אל היעד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יצויין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שעל פי העובדות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שאינן במחלוקת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חפץ הנאשם לאתר מקום הומה אדם בבאר שבע כדי להתפוצץ 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ולא הוגדרה לו מראש מטרה ספציפית בעיר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במסגרת הסדר הטיעון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התחייבה המאשימה להגביל את עצמה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בטיעוניה לעונש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באופן שלא תבקש להטיל על הנאשם יותר מ – </w:t>
      </w:r>
      <w:r>
        <w:rPr>
          <w:rFonts w:cs="Arial" w:ascii="Arial" w:hAnsi="Arial"/>
          <w:color w:val="000000"/>
          <w:lang w:val="en-US" w:eastAsia="en-US"/>
        </w:rPr>
        <w:t>19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שנות מאסר בפועל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ואילו ההגנה אינה מוגבלת בטיעוניה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ואכן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יוקדם ויאמר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שבמסגרת הטיעונים לעונש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עתרה התובעת המלומדה עו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ד מ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גז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להטיל עליו את העונש המירבי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שלפי ההסדר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ונימקה בפנינו עמדה עונשית זו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בטיעוניה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ציינה ב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כ המאשימה כי פעילות הנאשם התארכה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על ציר הזמן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כבר ב – </w:t>
      </w:r>
      <w:r>
        <w:rPr>
          <w:rFonts w:cs="Arial" w:ascii="Arial" w:hAnsi="Arial"/>
          <w:color w:val="000000"/>
          <w:lang w:val="en-US" w:eastAsia="en-US"/>
        </w:rPr>
        <w:t>2005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הביע רצון לביצוע פיגוע 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והחל להתאמן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ב – </w:t>
      </w:r>
      <w:r>
        <w:rPr>
          <w:rFonts w:cs="Arial" w:ascii="Arial" w:hAnsi="Arial"/>
          <w:color w:val="000000"/>
          <w:lang w:val="en-US" w:eastAsia="en-US"/>
        </w:rPr>
        <w:t>2006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ביצע את התצפית לעבר כוחות צה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וכשנה אחר 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- </w:t>
      </w:r>
      <w:r>
        <w:rPr>
          <w:rFonts w:cs="Arial" w:ascii="Arial" w:hAnsi="Arial"/>
          <w:color w:val="000000"/>
          <w:lang w:val="en-US" w:eastAsia="en-US"/>
        </w:rPr>
        <w:t>2007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נעשה הניסיון להוציא אל הפועל את הפיגוע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כן הצביעה עו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ד גז על הקביעות בהכרעת הדין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שעניינן נחישותו של הנאשם לבצע את הפיגוע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נחישות שסוכלה רק מחמת עירנות כוחות הביטחון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אלמלא כן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אפשר שהיה הנאשם מצליח לזרוע מוות המוני בקרב אזרחי ישראל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הסנגורית המלומדה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עו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ד 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צמל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סבורה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שמדובר בניסיון נואל להפוך את הנאשם לאדם מסוכן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וכי אין כך פני הדברים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טוענת היא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שהנאשם היה פעיל זוטר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אף זניח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באותו ארגון שהצטרף אליו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וכך למשל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אותו איסוף מודיעין בודד שביצע היה דל וזניח בפני עצמו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באשר לאישום המרכזי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ניסיון פיגוע ההתאבדות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מבקשת ההגנה לאבחן את המקרה מאירועים דומים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שבהם נמנע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לעיתים ברגע האחרון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פיגוע התאבדות קשה ורב סכנה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ושם נענשו אלה שניסו לעשות זאת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בענישה מחמירה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למשל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נדון מחבל שניסה לפוצץ עצמו בבית קפה הומה אדם בירושלים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</w:t>
      </w:r>
      <w:r>
        <w:rPr>
          <w:rFonts w:cs="Arial" w:ascii="Arial" w:hAnsi="Arial"/>
          <w:color w:val="000000"/>
          <w:rtl w:val="true"/>
          <w:lang w:val="en-US" w:eastAsia="en-US"/>
        </w:rPr>
        <w:t>-</w:t>
      </w:r>
      <w:r>
        <w:rPr>
          <w:rFonts w:cs="Arial" w:ascii="Arial" w:hAnsi="Arial"/>
          <w:color w:val="000000"/>
          <w:lang w:val="en-US" w:eastAsia="en-US"/>
        </w:rPr>
        <w:t>20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שנות מאסר בגין 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ובאותו מקרה הסיבה היחידה לכך שהפיגוע נכשל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היתה תקלה בהפעלת המטען עת ניסה ללחוץ על מתג ההפעלה 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>(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ניסיון הפיגוע ב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קפית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 xml:space="preserve">",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ירושלים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גז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 xml:space="preserve">ד מיום </w:t>
      </w:r>
      <w:r>
        <w:rPr>
          <w:rFonts w:cs="Arial" w:ascii="Arial" w:hAnsi="Arial"/>
          <w:color w:val="000000"/>
          <w:sz w:val="22"/>
          <w:szCs w:val="22"/>
          <w:lang w:val="en-US" w:eastAsia="en-US"/>
        </w:rPr>
        <w:t>12.9.02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בעניינו של משעל נידאל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 xml:space="preserve">, </w:t>
      </w:r>
      <w:hyperlink r:id="rId39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sz w:val="22"/>
            <w:szCs w:val="22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sz w:val="22"/>
            <w:szCs w:val="22"/>
            <w:lang w:val="en-US" w:eastAsia="en-US"/>
          </w:rPr>
          <w:t>5021/02</w:t>
        </w:r>
      </w:hyperlink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מחוזי י</w:t>
      </w: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sz w:val="22"/>
          <w:sz w:val="22"/>
          <w:szCs w:val="22"/>
          <w:rtl w:val="true"/>
          <w:lang w:val="en-US" w:eastAsia="en-US"/>
        </w:rPr>
        <w:t>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). </w:t>
      </w:r>
      <w:r>
        <w:rPr>
          <w:rFonts w:ascii="Arial" w:hAnsi="Arial" w:cs="Arial"/>
          <w:color w:val="000000"/>
          <w:rtl w:val="true"/>
          <w:lang w:val="en-US" w:eastAsia="en-US"/>
        </w:rPr>
        <w:t>עו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ד צמל טוענת שענייננו שונה בתכלית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ומצביעה על השלב המוקדם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לטעמה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שבו סוכל הניסיון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כאשר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כזכור</w:t>
      </w:r>
      <w:r>
        <w:rPr>
          <w:rFonts w:cs="Arial" w:ascii="Arial" w:hAnsi="Arial"/>
          <w:color w:val="000000"/>
          <w:lang w:val="en-US" w:eastAsia="en-US"/>
        </w:rPr>
        <w:t xml:space="preserve">,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הספיק הנאשם ליסוע אך כברת דרך קצרה לאחר חציית הגבול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וטרם הגיע כלל לאזור באר שבע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cs="Arial" w:ascii="Arial" w:hAnsi="Arial"/>
          <w:color w:val="000000"/>
          <w:rtl w:val="true"/>
        </w:rPr>
        <w:t xml:space="preserve">      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עוד טענה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כי נסיבות המקרה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אף שחלקן נותרו עלומות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מצביעות על 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שלכוחות הביטחון היה מידע מוקדם על מעשי הנאשם ועל שהוא עומד לעשות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והפיגוע נועד לכישלון מראש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ללא  סיכוי ריאלי שיתממש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באשר הכוחות היו ערוכים ומוכנים ללכידתו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מבעוד מועד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דומה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שלב הטיעון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מטעם ההגנה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עניינו בכך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שעקב הסיכול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הכה מוקדם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של ניסיון הפיגוע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אין לדעת האם לבסוף היה הנאשם מפוצץ עצמו במקום הומה אדם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או שמא מתחרט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והפקפוקים שראינו שבעבר פקדו אותו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היו שבים אליו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ובעטיים היה חוזר בו מכוונתו המחרידה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הסנגורית ציינה גם את נסיבותיו האישיות של מרשה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צעיר לימים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בן למשפחה מרובת ילדים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רווק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שהתפתה מתשומת הלב שקיבל מהסובבים אותו ומפעילי הטרור שהקדישו לו מזמנם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ועל רקע זה ניאות לבצע את פיגוע ההתאבדות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כבר כעת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יש להעיר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שקו טיעון זה אינו מתיישב עם עובדות כתב האישום המתוקן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שהודה בו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באשר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עולה מכתב האישום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כי בסמוך לאחר שהכיר הנאשם את פעיל ועדות ההתנגדות העממית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הוא עצמו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וביוזמתו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אמר לפעיל כי הוא חפץ לבצע פיגוע 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עו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ד צמל הביאה בפנינו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שעניינה מקרים אחרים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שנדונו בבתי משפט צבאיים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כמו גם בבתי משפט מחוזיים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ובבית המשפט העליון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ושם הוטלו על  נאשמים בגין ניסיון לרצח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עונשים 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חד ספרתיים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", </w:t>
      </w:r>
      <w:r>
        <w:rPr>
          <w:rFonts w:ascii="Arial" w:hAnsi="Arial" w:cs="Arial"/>
          <w:color w:val="000000"/>
          <w:rtl w:val="true"/>
          <w:lang w:val="en-US" w:eastAsia="en-US"/>
        </w:rPr>
        <w:t>וזו רמת הענישה שהיא עותרת לה אף ביחס לנאשם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גם התובעת הגישה לעיוננו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שם רמת הענישה תואמת את העמדה העונשית לה עתרה המאשימה</w:t>
      </w:r>
      <w:r>
        <w:rPr>
          <w:rFonts w:cs="Arial" w:ascii="Arial" w:hAnsi="Arial"/>
          <w:color w:val="000000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הנאשם  לא ביקש להוסיף מאומה על דברי פרקליטתו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בבואנו לגזור דינו של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בראש ובראשונה נשים לנגד עיננו את העובדה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שפיגוע שיכל להיות קשה ועתיר קורבנות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נמנע שלא מחמת מעשה או מחדל מטעמו של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אלא רק בשל עירנות ומיומנות של כוחות הביטחון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ככל שהנאשם פקפק בכוונתו וביכולתו להתאבד וליטול עימו חיי רבים מאזרחי ישראל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הרי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פקפוק זה היה מנת חלקו שבועות קודם לניסיון האמור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כפי שקבענו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בהכרעת הדין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כל האינדיקציות הצביעו על ניסיון נחוש והחלטי להוציא אל הפועל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זו הפעם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את הפיגוע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ולגרום נזק רב ואובדן חיי אדם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נזכיר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כי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לאחר שהשלים את ההכנות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ערך צוואה מצולמת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גילח את גופו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ונשא עימו את חגורת הנפץ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ניסה לחצות את הגבול ונכשל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אך לא אמר נואש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ומקץ </w:t>
      </w:r>
      <w:r>
        <w:rPr>
          <w:rFonts w:cs="Arial" w:ascii="Arial" w:hAnsi="Arial"/>
          <w:color w:val="000000"/>
          <w:lang w:val="en-US" w:eastAsia="en-US"/>
        </w:rPr>
        <w:t>4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ימים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חזר לחצות את הגבול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והפעם הצליח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זוהי אינדיקציה ברורה לנחישות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לתעוזה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ולהחלטה נחרצת לממש את זממו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כמו כן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אין בידינו  לייחס חשיבות רבה להבחנה שעושה ההגנה בין עיתוי סיכול הפיגוע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בשלב מוקדם של הנסיעה ליעד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במקרה שלפנינו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לבין העיתוי שבו  אירע הדבר  במקרים אחרים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כמו בניסיון  הפיגוע בבית הקפה 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קפית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" </w:t>
      </w:r>
      <w:r>
        <w:rPr>
          <w:rFonts w:ascii="Arial" w:hAnsi="Arial" w:cs="Arial"/>
          <w:color w:val="000000"/>
          <w:rtl w:val="true"/>
          <w:lang w:val="en-US" w:eastAsia="en-US"/>
        </w:rPr>
        <w:t>שהוזכר לעיל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נפקות הבחנה כזו יכולה להיות בשלב שבו יש לקבוע האם עסקינן בניסיון לביצוע עבירת הרצח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או שהמעשה טרם חרג מגדרי שלב ההכנה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ואזי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העבירות בהן ניתן להרשיע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חמורות פחות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אכן – במישור זה היו הצדדים חלוקים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טרם מתן הכרעת הדין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וסוגיות אלה הונחו לפתחנו בטיעוני הצדדים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בעקבות הסדר הטיעון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מעת שהכרעת הדין קבעה כי מדובר בניסיון לכל דבר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ולפי הנימוקים שניתנו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שוב אין להיזקק להשערה או להסתברות שמא ברגע האחרון היה הנאשם מתחרט ומשנה טעמו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הקביעה כי נעברה עבירת ניסיון רצח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טומנת בחובה את המסקנה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הנגזרת מהגדרת עבירת הניסיון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ופרשנותה בפסיקת בתי המשפט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כי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החל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מצידו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בשרשרת הפעולות שבאופן 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טבעי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" </w:t>
      </w:r>
      <w:r>
        <w:rPr>
          <w:rFonts w:ascii="Arial" w:hAnsi="Arial" w:cs="Arial"/>
          <w:color w:val="000000"/>
          <w:rtl w:val="true"/>
          <w:lang w:val="en-US" w:eastAsia="en-US"/>
        </w:rPr>
        <w:t>היתה מסתיימת בעבירה המוגמרת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אלמלא סוכלה כוונתו כתוצאה מהתערבות חיצונית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אלמלא פעולת כוחות הביטחון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היה בדעתו של הנאשם להגיע לבאר שבע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ולפוצץ עצמו במקום הומה אדם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כאשר התוצאה הוודאית כמעט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היתה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גביית מחיר כבד בחיי אדם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והניסיון המר והנורא בפיגועי התאבדות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עשרות כאלה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בעבר הלא רחוק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מלמדנו על כך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לעת גזירת דינו של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נשים לנגד עינינו כי לכך התכוון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וזו התכלית שחפץ להשיג במעשיו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לא היתה זו חרטה מצידו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וחזרה בו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שמנעו את התממשות התכנון השטני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כל אלה – מצדיקים ענישה מוחשית וקשה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אף אם האפקט ההרתעתי של העונש יחסית מצומצם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שהרי עסקינן באדם המוכן להתאבד ולמות יחד עם קורבנותיו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תשיג ענישה זו תוצאה של הרחקת מפגע מסוכן כזה לשנים ארוכות מהציבור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ומהאפשרות שיבקש לשוב על מעשיו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מאידך גיסא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נראים לנו דברי הסנגורית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באומרה שפעילותו הנוספת של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אקט  התצפית החד פעמי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והאימונים התיאורטיים בנשק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היו יחסית מינוריים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וכשלעצמם לא גרמו נזק ממשי לביטחון המדינה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  <w:r>
        <w:rPr>
          <w:rFonts w:ascii="Arial" w:hAnsi="Arial" w:cs="Arial"/>
          <w:color w:val="000000"/>
          <w:rtl w:val="true"/>
          <w:lang w:val="en-US" w:eastAsia="en-US"/>
        </w:rPr>
        <w:t>טיעון זה ילקח בחשבון בעת קביעת העונש הכולל על המעשים שעליהם הורשע הנאשם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הבאנו במניין השיקולים את הערת עו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>ד צמל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שההגעה להסדר הטיעון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הגם שלאחר שמיעת מקצת העדים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הביאה לחיסכון בזמן שיפוטי ובמשאבים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color w:val="000000"/>
          <w:rtl w:val="true"/>
          <w:lang w:val="en-US" w:eastAsia="en-US"/>
        </w:rPr>
        <w:t>מכל האמור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ולאור הנימוקים שלעיל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החלטנו לגזור על הנאשם </w:t>
      </w:r>
      <w:r>
        <w:rPr>
          <w:rFonts w:cs="Arial" w:ascii="Arial" w:hAnsi="Arial"/>
          <w:color w:val="000000"/>
          <w:lang w:val="en-US" w:eastAsia="en-US"/>
        </w:rPr>
        <w:t>18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שנות מאסר בפועל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שמניינם מיום מעצרו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cs="Arial" w:ascii="Arial" w:hAnsi="Arial"/>
          <w:color w:val="000000"/>
          <w:lang w:val="en-US" w:eastAsia="en-US"/>
        </w:rPr>
        <w:t>3.9.07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וכן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cs="Arial" w:ascii="Arial" w:hAnsi="Arial"/>
          <w:color w:val="000000"/>
          <w:lang w:val="en-US" w:eastAsia="en-US"/>
        </w:rPr>
        <w:t>12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למשך </w:t>
      </w:r>
      <w:r>
        <w:rPr>
          <w:rFonts w:cs="Arial" w:ascii="Arial" w:hAnsi="Arial"/>
          <w:color w:val="000000"/>
          <w:lang w:val="en-US" w:eastAsia="en-US"/>
        </w:rPr>
        <w:t>3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שנים מיום שחרורו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והתנאי שלא יעבור כל עבירה מסוג פשע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color w:val="000000"/>
          <w:lang w:val="en-US" w:eastAsia="en-US"/>
        </w:rPr>
        <w:t>45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 </w:t>
      </w:r>
      <w:r>
        <w:rPr>
          <w:rFonts w:ascii="Arial" w:hAnsi="Arial" w:cs="Arial"/>
          <w:color w:val="000000"/>
          <w:rtl w:val="true"/>
          <w:lang w:val="en-US" w:eastAsia="en-US"/>
        </w:rPr>
        <w:t>יום לבית המשפט העליון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ניתנה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 בשבט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03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בפברואר 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32"/>
          <w:szCs w:val="32"/>
          <w:lang w:val="en-US" w:eastAsia="en-US"/>
        </w:rPr>
      </w:pPr>
      <w:r>
        <w:rPr>
          <w:rFonts w:cs="Arial" w:ascii="Arial" w:hAnsi="Arial"/>
          <w:color w:val="000000"/>
          <w:sz w:val="32"/>
          <w:szCs w:val="32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lang w:val="en-US" w:eastAsia="en-US"/>
        </w:rPr>
        <w:t>5129371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lang w:val="en-US" w:eastAsia="en-US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lang w:val="en-US" w:eastAsia="en-US"/>
        </w:rPr>
        <w:t>5129371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lang w:val="en-US" w:eastAsia="en-US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u w:val="single"/>
          <w:rtl w:val="true"/>
          <w:lang w:val="en-US" w:eastAsia="en-US"/>
        </w:rPr>
      </w:r>
      <w:bookmarkStart w:id="15" w:name="NGCSBookmark"/>
      <w:bookmarkStart w:id="16" w:name="NGCSBookmark"/>
      <w:bookmarkEnd w:id="16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רויטל 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54678313-1142/07</w:t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  <w:tab/>
        <w:tab/>
      </w:r>
    </w:p>
    <w:p>
      <w:pPr>
        <w:pStyle w:val="Normal"/>
        <w:ind w:start="113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Normal"/>
        <w:ind w:start="113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start="1130" w:end="0"/>
        <w:jc w:val="center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1142-07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נחאל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538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ArchivingActivityID&quot; type=&quot;xs:int&quot; minOccurs=&quot;0&quot; /&gt;&#10;&#10;                &lt;xs:element name=&quot;GettingReasonID&quot; type=&quot;xs:int&quot; minOccurs=&quot;0&quot; /&gt;&#10;&#10;                &lt;xs:element name=&quot;StorageDate&quot; type=&quot;xs:dateTime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538&lt;/CaseID&gt;&#10;&#10;        &lt;CaseMonth&gt;21&lt;/CaseMonth&gt;&#10;&#10;        &lt;CaseYear&gt;2007&lt;/CaseYear&gt;&#10;&#10;        &lt;CaseNumber&gt;238415&lt;/CaseNumber&gt;&#10;&#10;        &lt;NumeratorGroupID&gt;1&lt;/NumeratorGroupID&gt;&#10;&#10;        &lt;CaseName&gt;î.é. ôø÷ìéèåú îçåæ ãøåí-ôìéìé ð' ðçàì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7&lt;/PreviousCaseYear&gt;&#10;&#10;        &lt;PreviousCaseNumber&gt;114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42-07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1&lt;/CaseNextDeterminingTask&gt;&#10;&#10;        &lt;CaseOpenDate&gt;2007-09-20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21.11.10 ðùìçä ìöããéíáô÷ñ&lt;/CaseDesc&gt;&#10;&#10;        &lt;isExistMinorSide&gt;false&lt;/isExistMinorSide&gt;&#10;&#10;        &lt;isExistMinorWitness&gt;false&lt;/isExistMinorWitness&gt;&#10;&#10;        &lt;PreviousCaseIdentifier&gt;055ôç 2007001142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1-02-03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538&lt;/CaseID&gt;&#10;&#10;        &lt;CaseMonth&gt;21&lt;/CaseMonth&gt;&#10;&#10;        &lt;CaseYear&gt;2007&lt;/CaseYear&gt;&#10;&#10;        &lt;CaseNumber&gt;238415&lt;/CaseNumber&gt;&#10;&#10;        &lt;NumeratorGroupID&gt;1&lt;/NumeratorGroupID&gt;&#10;&#10;        &lt;CaseName&gt;î.é. ôø÷ìéèåú îçåæ ãøåí-ôìéìé ð' ðçàì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7&lt;/PreviousCaseYear&gt;&#10;&#10;        &lt;PreviousCaseNumber&gt;114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42-07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1&lt;/CaseNextDeterminingTask&gt;&#10;&#10;        &lt;CaseOpenDate&gt;2007-09-20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21.11.10 ðùìçä ìöããéíáô÷ñ&lt;/CaseDesc&gt;&#10;&#10;        &lt;PreviousCaseIdentifier&gt;055ôç 2007001142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4410575&lt;/DecisionID&gt;&#10;&#10;        &lt;DecisionName&gt;âæø ãéï  îúàøéê  03/01/11  ùðéúðä ò&quot;é  àøéàì åàâå&lt;/DecisionName&gt;&#10;&#10;        &lt;DecisionStatusID&gt;1&lt;/DecisionStatusID&gt;&#10;&#10;        &lt;DecisionStatusChangeDate&gt;2011-02-03T08:44:36.5400000+02:00&lt;/DecisionStatusChangeDate&gt;&#10;&#10;        &lt;DecisionSignatureDate&gt;2011-01-03T09:09:13.0970000+02:00&lt;/DecisionSignatureDate&gt;&#10;&#10;        &lt;DecisionSignatureUserID&gt;065372526@GOV.IL&lt;/DecisionSignatureUserID&gt;&#10;&#10;        &lt;DecisionCreateDate&gt;2011-01-03T09:14:21.5970000+02:00&lt;/DecisionCreateDate&gt;&#10;&#10;        &lt;DecisionChangeDate&gt;2011-02-03T08:44:37.8270000+02:00&lt;/DecisionChangeDate&gt;&#10;&#10;        &lt;DecisionChangeUserID&gt;065372526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08371407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65372526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65372526@GOV.IL&lt;/DecisionCreationUserID&gt;&#10;&#10;        &lt;DecisionDisplayName&gt;âæø ãéï  îúàøéê  03/01/11  ùðéúðä ò&quot;é  àøéàì åàâå&lt;/DecisionDisplayName&gt;&#10;&#10;        &lt;IsScanned&gt;false&lt;/IsScanned&gt;&#10;&#10;        &lt;DecisionSignatureUserName&gt;àøéàì åàâå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4410575&lt;/DecisionID&gt;&#10;&#10;        &lt;CaseID&gt;32754538&lt;/CaseID&gt;&#10;&#10;        &lt;IsOriginal&gt;true&lt;/IsOriginal&gt;&#10;&#10;        &lt;IsDeleted&gt;false&lt;/IsDeleted&gt;&#10;&#10;        &lt;CaseName&gt;î.é. ôø÷ìéèåú îçåæ ãøåí-ôìéìé ð' ðçàì&lt;/CaseName&gt;&#10;&#10;        &lt;CaseDisplayIdentifier&gt;1142-07 úô&quot;ç&lt;/CaseDisplayIdentifier&gt;&#10;&#10;      &lt;/dt_DecisionCase&gt;&#10;&#10;      &lt;dt_DecisionJudgePanel diffgr:id=&quot;dt_DecisionJudgePanel1&quot; msdata:rowOrder=&quot;0&quot;&gt;&#10;&#10;        &lt;DecisionID&gt;74410575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4410575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4410575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4410575"/>
    <w:docVar w:name="docID" w:val="108371407"/>
    <w:docVar w:name="judgeUPN" w:val="065372526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65372526@GOV.IL"/>
    <w:docVar w:name="noteDocID" w:val="108371407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hanging="0" w:start="0" w:end="0"/>
      <w:jc w:val="start"/>
      <w:outlineLvl w:val="5"/>
    </w:pPr>
    <w:rPr>
      <w:rFonts w:cs="Times New Roman"/>
      <w:b/>
      <w:bCs/>
      <w:sz w:val="22"/>
      <w:szCs w:val="22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143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92" TargetMode="External"/><Relationship Id="rId8" Type="http://schemas.openxmlformats.org/officeDocument/2006/relationships/hyperlink" Target="http://www.nevo.co.il/law/70301/11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2510" TargetMode="External"/><Relationship Id="rId13" Type="http://schemas.openxmlformats.org/officeDocument/2006/relationships/hyperlink" Target="http://www.nevo.co.il/law/72510/4" TargetMode="External"/><Relationship Id="rId14" Type="http://schemas.openxmlformats.org/officeDocument/2006/relationships/hyperlink" Target="http://www.nevo.co.il/law/72510/5" TargetMode="External"/><Relationship Id="rId15" Type="http://schemas.openxmlformats.org/officeDocument/2006/relationships/hyperlink" Target="http://www.nevo.co.il/law/73729/85.1.a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3729/143.b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law/70301/92;11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05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2510/4" TargetMode="External"/><Relationship Id="rId28" Type="http://schemas.openxmlformats.org/officeDocument/2006/relationships/hyperlink" Target="http://www.nevo.co.il/law/72510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510/4" TargetMode="External"/><Relationship Id="rId32" Type="http://schemas.openxmlformats.org/officeDocument/2006/relationships/hyperlink" Target="http://www.nevo.co.il/law/72510" TargetMode="External"/><Relationship Id="rId33" Type="http://schemas.openxmlformats.org/officeDocument/2006/relationships/hyperlink" Target="http://www.nevo.co.il/law/72510/5" TargetMode="External"/><Relationship Id="rId34" Type="http://schemas.openxmlformats.org/officeDocument/2006/relationships/hyperlink" Target="http://www.nevo.co.il/law/72510" TargetMode="External"/><Relationship Id="rId35" Type="http://schemas.openxmlformats.org/officeDocument/2006/relationships/hyperlink" Target="http://www.nevo.co.il/law/72510/5" TargetMode="External"/><Relationship Id="rId36" Type="http://schemas.openxmlformats.org/officeDocument/2006/relationships/hyperlink" Target="http://www.nevo.co.il/law/72510" TargetMode="External"/><Relationship Id="rId37" Type="http://schemas.openxmlformats.org/officeDocument/2006/relationships/hyperlink" Target="http://www.nevo.co.il/law/70301/2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77345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2016-05-03T10:41:00Z</dcterms:created>
  <dc:creator>סתיו צולר</dc:creator>
  <dc:description/>
  <cp:keywords/>
  <dc:language>en-IL</dc:language>
  <cp:lastModifiedBy>hofit</cp:lastModifiedBy>
  <cp:lastPrinted>2011-02-03T08:44:00Z</cp:lastPrinted>
  <dcterms:modified xsi:type="dcterms:W3CDTF">2016-05-03T10:41:00Z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עבדאללה נחאל</vt:lpwstr>
  </property>
  <property fmtid="{D5CDD505-2E9C-101B-9397-08002B2CF9AE}" pid="4" name="CASESLISTTMP1">
    <vt:lpwstr>277345</vt:lpwstr>
  </property>
  <property fmtid="{D5CDD505-2E9C-101B-9397-08002B2CF9AE}" pid="5" name="CITY">
    <vt:lpwstr>ב"ש</vt:lpwstr>
  </property>
  <property fmtid="{D5CDD505-2E9C-101B-9397-08002B2CF9AE}" pid="6" name="DATE">
    <vt:lpwstr>20110203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רויטל יפה כ#ץ;אריאל ואגו;יורם צלקובניק</vt:lpwstr>
  </property>
  <property fmtid="{D5CDD505-2E9C-101B-9397-08002B2CF9AE}" pid="10" name="LAWLISTTMP1">
    <vt:lpwstr>73729/085.1.a;143.b</vt:lpwstr>
  </property>
  <property fmtid="{D5CDD505-2E9C-101B-9397-08002B2CF9AE}" pid="11" name="LAWLISTTMP2">
    <vt:lpwstr>70301/092;111;499.a.1;144.b:2;305.1;025:2</vt:lpwstr>
  </property>
  <property fmtid="{D5CDD505-2E9C-101B-9397-08002B2CF9AE}" pid="12" name="LAWLISTTMP3">
    <vt:lpwstr>72510/004:2;005:2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1142</vt:lpwstr>
  </property>
  <property fmtid="{D5CDD505-2E9C-101B-9397-08002B2CF9AE}" pid="27" name="NEWPARTB">
    <vt:lpwstr/>
  </property>
  <property fmtid="{D5CDD505-2E9C-101B-9397-08002B2CF9AE}" pid="28" name="NEWPARTC">
    <vt:lpwstr>07</vt:lpwstr>
  </property>
  <property fmtid="{D5CDD505-2E9C-101B-9397-08002B2CF9AE}" pid="29" name="NEWPROC">
    <vt:lpwstr>תפח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1142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me מדינת ישראל 794 htm</vt:lpwstr>
  </property>
  <property fmtid="{D5CDD505-2E9C-101B-9397-08002B2CF9AE}" pid="38" name="TYPE">
    <vt:lpwstr>2</vt:lpwstr>
  </property>
  <property fmtid="{D5CDD505-2E9C-101B-9397-08002B2CF9AE}" pid="39" name="TYPE_ABS_DATE">
    <vt:lpwstr>390020110203</vt:lpwstr>
  </property>
  <property fmtid="{D5CDD505-2E9C-101B-9397-08002B2CF9AE}" pid="40" name="TYPE_N_DATE">
    <vt:lpwstr>39020110203</vt:lpwstr>
  </property>
  <property fmtid="{D5CDD505-2E9C-101B-9397-08002B2CF9AE}" pid="41" name="VOLUME">
    <vt:lpwstr/>
  </property>
  <property fmtid="{D5CDD505-2E9C-101B-9397-08002B2CF9AE}" pid="42" name="WORDNUMPAGES">
    <vt:lpwstr>7</vt:lpwstr>
  </property>
</Properties>
</file>