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בפני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: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הנשיא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השופטת ר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US" w:eastAsia="en-US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 א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ואגו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US" w:eastAsia="en-US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 י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צלקובניק</w:t>
            </w:r>
          </w:p>
        </w:tc>
        <w:tc>
          <w:tcPr>
            <w:tcW w:w="36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תפ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ח </w:t>
            </w:r>
            <w:r>
              <w:rPr>
                <w:rFonts w:cs="Arial" w:ascii="Arial" w:hAnsi="Arial"/>
                <w:b/>
                <w:bCs/>
                <w:lang w:val="en-US" w:eastAsia="en-US"/>
              </w:rPr>
              <w:t>1152-09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bookmarkStart w:id="0" w:name="LastJudge"/>
      <w:bookmarkEnd w:id="0"/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6120"/>
        <w:gridCol w:w="177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: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6120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US" w:eastAsia="en-US"/>
              </w:rPr>
              <w:t xml:space="preserve">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על ידי 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מורן גז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פמ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17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61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177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מחמד מהרה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ז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cs="Arial" w:ascii="Arial" w:hAnsi="Arial"/>
                <w:b/>
                <w:bCs/>
                <w:lang w:val="en-US" w:eastAsia="en-US"/>
              </w:rPr>
              <w:t>xxxxxxxxx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6120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US" w:eastAsia="en-US"/>
              </w:rPr>
              <w:t xml:space="preserve">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על ידי 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מחמד ג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בארין</w:t>
            </w:r>
          </w:p>
        </w:tc>
        <w:tc>
          <w:tcPr>
            <w:tcW w:w="177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פקודת מניעת טרור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111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114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ג ז ר  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-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 י 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ס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הנשיא רויטל יפה</w:t>
      </w:r>
      <w:r>
        <w:rPr>
          <w:rFonts w:cs="Arial" w:ascii="Arial" w:hAnsi="Arial"/>
          <w:b/>
          <w:bCs/>
          <w:rtl w:val="true"/>
          <w:lang w:val="en-US" w:eastAsia="en-US"/>
        </w:rPr>
        <w:t>-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ץ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אב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ד</w:t>
      </w:r>
      <w:r>
        <w:rPr>
          <w:rFonts w:cs="Arial" w:ascii="Arial" w:hAnsi="Arial"/>
          <w:b/>
          <w:bCs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.</w:t>
        <w:tab/>
      </w:r>
      <w:bookmarkStart w:id="9" w:name="ABSTRACT_START"/>
      <w:bookmarkEnd w:id="9"/>
      <w:r>
        <w:rPr>
          <w:rFonts w:ascii="Arial" w:hAnsi="Arial" w:cs="Arial"/>
          <w:rtl w:val="true"/>
          <w:lang w:val="en-US" w:eastAsia="en-US"/>
        </w:rPr>
        <w:t>במסגרת הסדר טיעון שנערך בין הצדדים תוקן כתב האישום המקורי שהוגש כנגד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הודה בעובדות שבכתב האישום המתוקן ובהתאם הורשע בביצוע שורת עבירות חמורות כנגד ביטחון המדינה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הסדר הטיעון לא כלל הסכמה לעניין העונש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בהתאם לעובדות בהן הודה הנאשם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במסגרת האישום הראשון</w:t>
      </w:r>
      <w:r>
        <w:rPr>
          <w:rFonts w:cs="Arial" w:ascii="Arial" w:hAnsi="Arial"/>
          <w:b/>
          <w:bCs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הוא גוייס בשנת </w:t>
      </w:r>
      <w:r>
        <w:rPr>
          <w:rFonts w:cs="Arial" w:ascii="Arial" w:hAnsi="Arial"/>
          <w:lang w:val="en-US" w:eastAsia="en-US"/>
        </w:rPr>
        <w:t>2003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לחטיבות אל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נאצר צלאח 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הזרוע הצבאית של ועדות ההתנגדות העממית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אירגון שהוכרז כהתאחדות בלתי מותרת וחבריו פועלים כאירגון 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הגדודים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-"</w:t>
      </w:r>
      <w:r>
        <w:rPr>
          <w:rFonts w:ascii="Arial" w:hAnsi="Arial" w:cs="Arial"/>
          <w:rtl w:val="true"/>
          <w:lang w:val="en-US" w:eastAsia="en-US"/>
        </w:rPr>
        <w:t>החטיבות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בהתאמה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במסגרת פעילותו בוועדות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בשנת </w:t>
      </w:r>
      <w:r>
        <w:rPr>
          <w:rFonts w:cs="Arial" w:ascii="Arial" w:hAnsi="Arial"/>
          <w:lang w:val="en-US" w:eastAsia="en-US"/>
        </w:rPr>
        <w:t>2003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נפגש הנאשם עם פעילים של החטיבות והגדודים וקיבל על עצמו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ביחד עם 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להשלים פיגוע כנגד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 עלה יפה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לפיכך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ומספר פעילים נוספים עמם קשר קשר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נסעו לאזור אלמזרועין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שם הונחו מטענים יום קודם לכן על ידי פעילים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שנחשפו בלא שהשלימו את מלאכת הכנת המטענים להפעלה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לקחו את המטענים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האחד במשקל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ג והשני במשקל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ואחד הקושרים הטמין את המטענים ברח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צלאח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דין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והאחרים היו אמורים לחבר למטענים כבל הפעלה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 הכבל היה קצר מידי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ואחר זחלו אל המטענים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שאז הבחינו בהם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והחלו לירות לעברם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והם נמלטו מהמקום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הנאשם שהה במקום מסתור עד סמוך לשעה </w:t>
      </w:r>
      <w:r>
        <w:rPr>
          <w:rFonts w:cs="Arial" w:ascii="Arial" w:hAnsi="Arial"/>
          <w:lang w:val="en-US" w:eastAsia="en-US"/>
        </w:rPr>
        <w:t>05:00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ועם עלות השחר הלך למסגד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שם פגש את האחרים אשר הסתתרו במסגד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המטענים נחשפו על ידי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סמוך לאחר האירוע – ופוצצו על ידם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נוכח מעשים אלה הורשע הנאשם בביצוע עבירות של חברות באירגון טרוריסטי 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3">
        <w:r>
          <w:rPr>
            <w:rStyle w:val="Hyperlink"/>
            <w:rFonts w:ascii="Arial" w:hAnsi="Arial" w:cs="Arial"/>
            <w:rtl w:val="true"/>
            <w:lang w:val="en-US" w:eastAsia="en-US"/>
          </w:rPr>
          <w:t>פקודת מניעת טרור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1948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קשירת קשר לפשע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רצח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5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הובלת נשק 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העונשין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וניסיון לרצח לפי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305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העונשין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בהתאם לעובדות שבאישום השני בכתב האישום המתוקן</w:t>
      </w:r>
      <w:r>
        <w:rPr>
          <w:rFonts w:ascii="Arial" w:hAnsi="Arial" w:cs="Arial"/>
          <w:rtl w:val="true"/>
          <w:lang w:val="en-US" w:eastAsia="en-US"/>
        </w:rPr>
        <w:t xml:space="preserve"> בו הודה הנאשם עולה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במהלך שנת </w:t>
      </w:r>
      <w:r>
        <w:rPr>
          <w:rFonts w:cs="Arial" w:ascii="Arial" w:hAnsi="Arial"/>
          <w:lang w:val="en-US" w:eastAsia="en-US"/>
        </w:rPr>
        <w:t>2005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קשר הנאשם קשר עם פעילים אחרים לירות טילים כנגד מדינת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לגרום למותם של ישראלים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במסגרת קשר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העמיסו הנאשם והקושרים האחרים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רכב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שני טילים ושני בסיסי שיגור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שהיו בביתו של אחד הפעילים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ונסעו לכרם באזור עטארה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שם הציבו את הטילים וכיוונו אותם לשיגור לעבר תחומי מדינת ישראל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שניים מהפעילים הפעילו שעון עצר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שהיווה מנגנון הפעלה לשיגור הטילים</w:t>
      </w:r>
      <w:r>
        <w:rPr>
          <w:rFonts w:cs="Arial" w:ascii="Arial" w:hAnsi="Arial"/>
          <w:rtl w:val="true"/>
          <w:lang w:val="en-US" w:eastAsia="en-US"/>
        </w:rPr>
        <w:t xml:space="preserve">,  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דקות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וכולם עזבו את המקום והתמקמו במסגד סמוך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במסגד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שמע הנאשם קול שיגור של הטילים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ולאחר מכן עזבו הוא והאחרים את האזור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בהמשך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ולאחר שדווח בחדשות כי בוצע ירי לעבר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נטלו החטיבות אחריות לשיגור הטילים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נוכח מעשים אלה הורשע הנאשם בביצוע עבירות של חברות באירגון טרוריסטי לפי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9">
        <w:r>
          <w:rPr>
            <w:rStyle w:val="Hyperlink"/>
            <w:rFonts w:ascii="Arial" w:hAnsi="Arial" w:cs="Arial"/>
            <w:rtl w:val="true"/>
            <w:lang w:val="en-US" w:eastAsia="en-US"/>
          </w:rPr>
          <w:t>פקודת מניעת טרור</w:t>
        </w:r>
      </w:hyperlink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עבירות בנשק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הובלת נשק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21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קשירת קשר לפשע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רצח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העונשין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וניסיון לרצח לפי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305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העונשין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בהתאם לעובדות שבאישום השלישי שבכתב האישום המתוקן</w:t>
      </w:r>
      <w:r>
        <w:rPr>
          <w:rFonts w:ascii="Arial" w:hAnsi="Arial" w:cs="Arial"/>
          <w:rtl w:val="true"/>
          <w:lang w:val="en-US" w:eastAsia="en-US"/>
        </w:rPr>
        <w:t xml:space="preserve"> בו הודה הנאשם עולה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במהלך שנת </w:t>
      </w:r>
      <w:r>
        <w:rPr>
          <w:rFonts w:cs="Arial" w:ascii="Arial" w:hAnsi="Arial"/>
          <w:lang w:val="en-US" w:eastAsia="en-US"/>
        </w:rPr>
        <w:t>2004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הוא נפגש עם מסעוד מהרה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שהוא פעיל חמאס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אירגון שהוכרז כאירגון טרוריסטי וכהתאחדות בלתי מותרת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וביחד יצאו לפגישה עם איימן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ודה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פעיל גדודי עז 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דין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אלקסאם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פלג של החמאס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המהווה את הזרוע הצבאית של האירגון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שנהרג לאחר מכן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במהלך הפגישה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שהייתה בביתו של איימן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ודה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מסר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ודה לנאשם ולאחר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בכוונתו לבצע פיגוע כנגד מוצב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אבו צפיה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הממוקם מזרחית לג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בליה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וכי לצורך ביצוע הפיגוע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זקוק לעזרת הנאשם והאחר בביצוע תצפיות על המוצב ואיתור מקום למעבר המפגעים המתאבדים אל המוצב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ומסעוד מהרה הסכימו לסייע לג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ודה וקשרו עמו קשר לפגוע בביטחון המדינה ולגרום למותם של ישראלים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במסגרת הקשר האמור קיבלו הנאשם ומסעוד מאיימן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ודה משקפת ויצאו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בסביבות השעה </w:t>
      </w:r>
      <w:r>
        <w:rPr>
          <w:rFonts w:cs="Arial" w:ascii="Arial" w:hAnsi="Arial"/>
          <w:lang w:val="en-US" w:eastAsia="en-US"/>
        </w:rPr>
        <w:t>11:00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מביתו של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 xml:space="preserve">ודה ישירות לאזור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אבו צפיה</w:t>
      </w:r>
      <w:r>
        <w:rPr>
          <w:rFonts w:cs="Arial" w:ascii="Arial" w:hAnsi="Arial"/>
          <w:rtl w:val="true"/>
          <w:lang w:val="en-US" w:eastAsia="en-US"/>
        </w:rPr>
        <w:t xml:space="preserve">". </w:t>
      </w:r>
      <w:r>
        <w:rPr>
          <w:rFonts w:ascii="Arial" w:hAnsi="Arial" w:cs="Arial"/>
          <w:rtl w:val="true"/>
          <w:lang w:val="en-US" w:eastAsia="en-US"/>
        </w:rPr>
        <w:t>השניים נכנסו לפרדס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הסמוך לבית הקברות והמרוחק כ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500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מטרים מהמוצב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כשהם מסתתרים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ובאמצעות המשקפת שקיבלו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ביצעו תצפיות לעבר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שבמוצב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למשך כ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דקות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המוצב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לומר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היה מוקף במעקי בטון ובסוללת עפר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שבצדדיה שני טנקים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לצידם חיילי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במהלך התצפיות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הבחינו הנאשם ומסעוד במטע זיתים הסמוך למוצב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וסברו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ממנו יוכלו מפגעים מתאבדים להיכנס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בזחילה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לתוך המוצב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שבו השניים לביתו של איימן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ודה ומסרו לידיו את ממצאי התצפיות שביצעו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היינו – את דרך הכניסה האפשרית למוצב דרך מטע הזיתים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כשבועיים 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30/09/04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בוצע הפיגוע על ידי שני מפגעים מתאבדים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פעילי הגדודים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בלאל אלבורש ואחר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הפיגוע תוכנן ובוצע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היתר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בהתבסס על המידע שמסרו הנאשם ומסעוד מהרה לאיימן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ודה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בפיגוע זה נהרג חייל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גלעד פישר ז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ונפצעו החיילים אלכס אברבנל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אבירם אבנר ופרידמן עומר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החייל אלכס אברבנל פונה לבית חולים סמוך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שקיבל טיפול רפואי בשטח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כשהוא מחוסר הכרה ומונשם וסובל מפצע ירי בבית החזה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נותח וסובל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עד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משיתוק בגפיים התחתונים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החייל אבירם אבנר נפצע מרסיסים באמה ובפרק ידו השמאלית מרימון שהושלך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ופונה לקבלת טיפול רפואי בבית חולים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החייל עומר פרידמן פונה אף הוא לבית חולים לאחר פציעתו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ואובחן כסובל מפציעות רסיסי רימון בסנטר ובגפיים התחתונות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אושפז וקיבל טיפול במחלקה האורתופדית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בשל מעשיו אלו הורשע הנאשם בביצוע עבירות של מגע עם סוכן חוץ לפי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114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25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פעילות באירגון טרוריסטי לפי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27">
        <w:r>
          <w:rPr>
            <w:rStyle w:val="Hyperlink"/>
            <w:rFonts w:ascii="Arial" w:hAnsi="Arial" w:cs="Arial"/>
            <w:rtl w:val="true"/>
            <w:lang w:val="en-US" w:eastAsia="en-US"/>
          </w:rPr>
          <w:t>פקודת מניעת טרור</w:t>
        </w:r>
      </w:hyperlink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קשירת קשר למסירת ידיעה לאויב שעלולה להיות לו לתועלת בכוונה לפגוע בביטחון המדינה לפי סעיף </w:t>
      </w:r>
      <w:hyperlink r:id="rId28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92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בצירוף סעיף </w:t>
      </w:r>
      <w:hyperlink r:id="rId29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111</w:t>
        </w:r>
      </w:hyperlink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חלופה שלישית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לחוק העונשין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קשירת קשר לפשע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רצח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העונשין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ומסירת ידיעה לאויב העלולה להיות לו לתועלת בכוונה לפגוע בביטחון המדינה לפי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111</w:t>
        </w:r>
      </w:hyperlink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חלופה שלישית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לחוק העונשין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כחלק מהראיות לעונש הגישה התובעת המלומדה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מורן גז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דיסק שהועבר לביהמ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ממשפחתו של החייל שנהרג – גלעד פישר ז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דיסק שהוכן לזכרו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בדיסק                            ניתן לראות את מהלך חייו של גלעד ז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מילדותו ועד שבגר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הסרט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לומר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נוגע מאוד ללב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והוא מדגיש את הכאב הבלתי נסבל והבלתי נתפס של המשפחה בעקבות אובדנו של הבן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Miriam"/>
          <w:b/>
          <w:bCs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כך ציינה התובעת בנוגע למשפחתו של גלעד ז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ind w:start="1440" w:end="900"/>
        <w:jc w:val="both"/>
        <w:rPr>
          <w:rFonts w:ascii="Arial" w:hAnsi="Arial" w:cs="Miriam"/>
          <w:b/>
          <w:bCs/>
          <w:lang w:val="en-US" w:eastAsia="en-US"/>
        </w:rPr>
      </w:pPr>
      <w:r>
        <w:rPr>
          <w:rFonts w:cs="Miriam" w:ascii="Arial" w:hAnsi="Arial"/>
          <w:b/>
          <w:bCs/>
          <w:rtl w:val="true"/>
          <w:lang w:val="en-US" w:eastAsia="en-US"/>
        </w:rPr>
      </w:r>
    </w:p>
    <w:p>
      <w:pPr>
        <w:pStyle w:val="Normal"/>
        <w:ind w:start="1440" w:end="900"/>
        <w:jc w:val="both"/>
        <w:rPr>
          <w:rFonts w:ascii="Arial" w:hAnsi="Arial" w:cs="Miriam"/>
          <w:b/>
          <w:bCs/>
          <w:lang w:val="en-US" w:eastAsia="en-US"/>
        </w:rPr>
      </w:pPr>
      <w:r>
        <w:rPr>
          <w:rFonts w:cs="Miriam" w:ascii="Arial" w:hAnsi="Arial"/>
          <w:b/>
          <w:bCs/>
          <w:rtl w:val="true"/>
          <w:lang w:val="en-US" w:eastAsia="en-US"/>
        </w:rPr>
      </w:r>
    </w:p>
    <w:p>
      <w:pPr>
        <w:pStyle w:val="Normal"/>
        <w:ind w:start="1440" w:end="900"/>
        <w:jc w:val="both"/>
        <w:rPr>
          <w:rFonts w:ascii="Arial" w:hAnsi="Arial" w:cs="Miriam"/>
          <w:b/>
          <w:bCs/>
          <w:lang w:val="en-US" w:eastAsia="en-US"/>
        </w:rPr>
      </w:pPr>
      <w:r>
        <w:rPr>
          <w:rFonts w:cs="Miriam" w:ascii="Arial" w:hAnsi="Arial"/>
          <w:b/>
          <w:bCs/>
          <w:rtl w:val="true"/>
          <w:lang w:val="en-US" w:eastAsia="en-US"/>
        </w:rPr>
      </w:r>
    </w:p>
    <w:p>
      <w:pPr>
        <w:pStyle w:val="Normal"/>
        <w:ind w:start="1440" w:end="900"/>
        <w:jc w:val="both"/>
        <w:rPr>
          <w:rFonts w:ascii="Arial" w:hAnsi="Arial" w:cs="Miriam"/>
          <w:b/>
          <w:bCs/>
          <w:lang w:val="en-US" w:eastAsia="en-US"/>
        </w:rPr>
      </w:pPr>
      <w:r>
        <w:rPr>
          <w:rFonts w:cs="Miriam" w:ascii="Arial" w:hAnsi="Arial"/>
          <w:b/>
          <w:bCs/>
          <w:rtl w:val="true"/>
          <w:lang w:val="en-US" w:eastAsia="en-US"/>
        </w:rPr>
      </w:r>
    </w:p>
    <w:p>
      <w:pPr>
        <w:pStyle w:val="Normal"/>
        <w:ind w:start="1440" w:end="90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Miriam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היא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(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המשפחה</w:t>
      </w:r>
      <w:r>
        <w:rPr>
          <w:rFonts w:cs="Miriam" w:ascii="Arial" w:hAnsi="Arial"/>
          <w:rtl w:val="true"/>
          <w:lang w:val="en-US" w:eastAsia="en-US"/>
        </w:rPr>
        <w:t>)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שבורה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לרסיסים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...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מצויים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עד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היום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בקשר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יומיומי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ממש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עם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קצינת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הנפגעים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של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החטיבה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שירת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בנם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..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לא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אוכל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לתאר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במילים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הכאב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הגדול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שהם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הקרינו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ואת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האובדן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הבלתי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נתפס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אמו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..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אמרה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לי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שאין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יותר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גרוע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מלקבור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ילד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והיא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ביקשה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שלא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להגיע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היום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לדיון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כי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מבחינה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נפשית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היא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אמרה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שלא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תוכל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לשאת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הישיבה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כאן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בביהמ</w:t>
      </w:r>
      <w:r>
        <w:rPr>
          <w:rFonts w:cs="Miriam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</w:t>
      </w:r>
      <w:r>
        <w:rPr>
          <w:rFonts w:cs="Miriam" w:ascii="Arial" w:hAnsi="Arial"/>
          <w:b/>
          <w:bCs/>
          <w:rtl w:val="true"/>
          <w:lang w:val="en-US" w:eastAsia="en-US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ובמסגרת טיעוניה לעונש הפנתה התובעת לחומר הרפואי שהוגש במהלך שמיעת הראיות בטרם הסדר הטיעון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בעניינם של החיילים שנפצעו במהלך הפיגוע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 xml:space="preserve">אלכס אברבנל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עומר פרידמן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ואבירם אבנר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חומר זה היווה גם את הבסיס לקביעות שבכתב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הכל כמצויין לעיל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התובעת ביקשה להפריד את הענישה בגין האישומים השונים שהנאשם הורשע בהם – עונש נפרד בגין האישום השלישי ועונש נפרד בגין שני האישומים האחרים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אשר לאישום השלישי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שם העבירה החמורה מכולן היא העבירה של מסירת ידיעה לאוייב העלולה להיות לו לתועלת בכוונה לפגוע בביטחון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החלופה השלישית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שהעונש בצידה עומד על מאסר עולם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טענה התובע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המידע שמסר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היתר היה זה שהוביל לפיגוע על התוצאות הקשות שלו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Miriam" w:ascii="Arial" w:hAnsi="Arial"/>
          <w:rtl w:val="true"/>
          <w:lang w:val="en-US" w:eastAsia="en-US"/>
        </w:rPr>
        <w:t xml:space="preserve"> </w:t>
      </w:r>
      <w:r>
        <w:rPr>
          <w:rFonts w:cs="Miriam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המאשימה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סבורה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שהמקרה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הזה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הוא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מקרה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מתאים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להטיל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עונש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מקסימום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עונש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המתקרב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לעונש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המקסימום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לאור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העובדה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שחייל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אחד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מצא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מותו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וחייל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אחר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נשאר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משותק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בגפיו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התחתונות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עד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היום</w:t>
      </w:r>
      <w:r>
        <w:rPr>
          <w:rFonts w:cs="Miriam" w:ascii="Arial" w:hAnsi="Arial"/>
          <w:b/>
          <w:bCs/>
          <w:rtl w:val="true"/>
          <w:lang w:val="en-US" w:eastAsia="en-US"/>
        </w:rPr>
        <w:t>...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ברוח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החוק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החדש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העוסק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בהבניית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הענישה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עקרון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ההלימה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הוא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העיקרון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העליון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אליו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התייחס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המחוקק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וביקש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מביהמ</w:t>
      </w:r>
      <w:r>
        <w:rPr>
          <w:rFonts w:cs="Miriam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לשים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אותו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בראש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סדר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העדיפויות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עקרון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זה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צריך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להוביל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ביהמ</w:t>
      </w:r>
      <w:r>
        <w:rPr>
          <w:rFonts w:cs="Miriam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לעונש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אליו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עותרת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המאשימה</w:t>
      </w:r>
      <w:r>
        <w:rPr>
          <w:rFonts w:cs="Miriam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אשר לאישומים האחרים הפנתה התובעת לענישה שהוטלה על ידי בתי המשפט השונים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במקרים דומים העונש שהוטל היה בין </w:t>
      </w:r>
      <w:r>
        <w:rPr>
          <w:rFonts w:cs="Arial" w:ascii="Arial" w:hAnsi="Arial"/>
          <w:lang w:val="en-US" w:eastAsia="en-US"/>
        </w:rPr>
        <w:t>19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וסברה שזהו העונש המתאים גם במקרה זה לעבירות נשוא האישומים הראשון והשני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העונש שיוטל על הנאשם בגין האישום השלישי צריך להיות מצטבר לענישה זו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הסנגור המלומד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מחמד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בארין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עתר שלא להחמיר עם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שסבר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חלקו הקטן בביצוע כל העבירות נשוא 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אינו מצדיק את ההחמרה המבוקשת על ידי המאשימה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אשר לאישום השלישי 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לא הנאשם היה מי שעמד מאחורי הפיגוע וכי לא בכדי צויין בכתב האישום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סעיף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לאישום השלישי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כי הפיגוע בוצע ותוכנן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בין היתר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בהתבסס על המידע שמסרו הנאשם ושותפו לאחד ממתכנני הפיגוע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והוסיף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מחומר הראיות עלה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שהמתאבדים לא פעלו בדיוק לפי המתווה שמסרו הנאשם ושותפו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לדברי 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Miriam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הסכמנו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שבין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היתר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המידע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שמסר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שהם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השתמשו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בו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אבל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בפועל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לפי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תיאור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החיילים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נכנסו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ממקום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אחר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וכך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אני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סבור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שחלקו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של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הנאשם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מועט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בעניין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הזה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אנו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מדברים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על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מישהו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שלא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יזם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את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הפיגוע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הזה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ולא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היה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בדרג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הגבוהה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של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המבצעים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אלא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השתמשו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באחד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המידעים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שהוא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מסר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ולבסוף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המתאבדים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נכנסו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ממקום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אחר</w:t>
      </w:r>
      <w:r>
        <w:rPr>
          <w:rFonts w:cs="Miriam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הסנגור הוסיף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גם באישומים האחרים חלקו של הנאשם היה קטן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לא היה היוזם בשום מקרה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הסנגור גם הוסיף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מדובר בעבירות מהשנים </w:t>
      </w:r>
      <w:r>
        <w:rPr>
          <w:rFonts w:cs="Arial" w:ascii="Arial" w:hAnsi="Arial"/>
          <w:lang w:val="en-US" w:eastAsia="en-US"/>
        </w:rPr>
        <w:t>2003</w:t>
      </w:r>
      <w:r>
        <w:rPr>
          <w:rFonts w:cs="Arial" w:ascii="Arial" w:hAnsi="Arial"/>
          <w:rtl w:val="true"/>
          <w:lang w:val="en-US" w:eastAsia="en-US"/>
        </w:rPr>
        <w:t xml:space="preserve"> – </w:t>
      </w:r>
      <w:r>
        <w:rPr>
          <w:rFonts w:cs="Arial" w:ascii="Arial" w:hAnsi="Arial"/>
          <w:lang w:val="en-US" w:eastAsia="en-US"/>
        </w:rPr>
        <w:t>2005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עת הנאשם היה צעיר כבן </w:t>
      </w:r>
      <w:r>
        <w:rPr>
          <w:rFonts w:cs="Arial" w:ascii="Arial" w:hAnsi="Arial"/>
          <w:lang w:val="en-US" w:eastAsia="en-US"/>
        </w:rPr>
        <w:t>19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21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הנאשם ניתק כל מגע מהאירגונים כבר בשנת </w:t>
      </w:r>
      <w:r>
        <w:rPr>
          <w:rFonts w:cs="Arial" w:ascii="Arial" w:hAnsi="Arial"/>
          <w:lang w:val="en-US" w:eastAsia="en-US"/>
        </w:rPr>
        <w:t>2005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ועד מעצרו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הסנגור הדגיש את הודייתו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חיסכון בזמן שיפוטי יקר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במיוחד כשמדובר בתיק שאינו פשוט מן הבחינה הראייתית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הנאשם ניסה להתאבד מספר פעמים במהלך מעצרו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הוא נישא ויש לו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ילדים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אותם עליו לפרנס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בסיום טיעוניו ציין 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cs="Miriam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אני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לא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אומר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שהתוצאה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לא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הייתה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טראגית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אולם</w:t>
      </w:r>
      <w:r>
        <w:rPr>
          <w:rFonts w:cs="Miriam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בסוף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ביהמ</w:t>
      </w:r>
      <w:r>
        <w:rPr>
          <w:rFonts w:cs="Miriam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צריך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להסתכל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כמובן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על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חלקו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של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הנאשם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בכל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האישומים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ולא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רק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באישום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Miriam"/>
          <w:b/>
          <w:b/>
          <w:bCs/>
          <w:rtl w:val="true"/>
          <w:lang w:val="en-US" w:eastAsia="en-US"/>
        </w:rPr>
        <w:t>הזה</w:t>
      </w:r>
      <w:r>
        <w:rPr>
          <w:rFonts w:ascii="Arial" w:hAnsi="Arial" w:eastAsia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cs="Miriam" w:ascii="Arial" w:hAnsi="Arial"/>
          <w:rtl w:val="true"/>
          <w:lang w:val="en-US" w:eastAsia="en-US"/>
        </w:rPr>
        <w:t>(</w:t>
      </w:r>
      <w:r>
        <w:rPr>
          <w:rFonts w:ascii="Arial" w:hAnsi="Arial" w:cs="Miriam"/>
          <w:rtl w:val="true"/>
          <w:lang w:val="en-US" w:eastAsia="en-US"/>
        </w:rPr>
        <w:t>השלישי</w:t>
      </w:r>
      <w:r>
        <w:rPr>
          <w:rFonts w:cs="Miriam" w:ascii="Arial" w:hAnsi="Arial"/>
          <w:rtl w:val="true"/>
          <w:lang w:val="en-US" w:eastAsia="en-US"/>
        </w:rPr>
        <w:t>)</w:t>
      </w:r>
      <w:r>
        <w:rPr>
          <w:rFonts w:cs="Miriam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בפנייתו האחרונה לביהמ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פנה בבקשת רחמים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שני הצדדים הגישו לעיוננו אסופות של פסקי 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מהם ביקשו ללמוד על רמת הענישה שביקשו כי נאמץ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איבחון מהפסיקה שהגיש האחר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ונציין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הצדדים לא הגישו פסיקה ההולמת את העבירות נשוא האישום השלישי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שלא מצאו פסיקה תואמת שכזו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 יכולה להיות מחלוקת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מעשי הנאשם קשים וחמורים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וכי באחד המקרים הובילו בין היתר מעשיו לתוצאה קשה ונוראה – מותו של חייל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פציעה קשה ביותר לחייל נוסף ופציעה קלה יותר לשני חיילים אחרים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אכן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באישום השלישי האמור היה הנאשם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רק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אחד משרשרת האנשים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שבעקבות מעשיהם עלה בידי אירגון הטרור לבצע את הפיגוע הקשה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הוא היה אחד האנשים שמסר אינפורמציה שאיפשרה את הוצאת הפיגוע מן הכוח אל הפועל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פנו אליו במיוחד לשם איסוף המידע והוא התגייס למשימה שהוטלה עליו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הסתתר בסמוך למוצב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השקיף על המוצב ועל סביבתו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וביחד עם שותפו עלה בידו להציע מתווה להוצאת פיגוע ההתאבדות מן הכוח אל הפועל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והפיגוע אכן בוצע ותוצאתו הקשה ידועה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נוכח כל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יוכל הנאשם להסתתר שנית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הפעם מאחורי הטענה כי אינו אחראי ישירות לתוצאה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כל אחד ואחד בשרשרת הטרור אחראי לתוצאה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והעובדה שהיו שותפים נוספים לא פוטרת אותו מאחריותו לתוצאה הסופית של האירוע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אמנם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לא היה היוזם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 המבצע בפועל של הפיגוע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ולכן גם אין מקום להטיל עליו את מלוא האחריות לתוצאה הקשה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 חלקו אינו שולי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כנטען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ופעילותו הייתה חיונית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בלעדיה לא ניתן היה לבצע את הפיגוע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ידוע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פעילות שכזו הינה חיונית ביותר לאירגוני הטרור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בלעדיה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יוכלו אירגוני הטרור לבצע פעילות טרור כנגד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הנאשם רתם עצמו מרצון לפעילות 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ודבק בפעילותו זו במשך שנים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בין השנים </w:t>
      </w:r>
      <w:r>
        <w:rPr>
          <w:rFonts w:cs="Arial" w:ascii="Arial" w:hAnsi="Arial"/>
          <w:lang w:val="en-US" w:eastAsia="en-US"/>
        </w:rPr>
        <w:t>2003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2005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בפעילותו עשה כל שיכול היה כדי לגרום לפגיעה קשה בחיילי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או באזרחי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בניסיונותיו לשגר טילים לעבר המדינה ובין כשאסף מידע כדי לאפשר פעילות של מחבלים מתאבדים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לא היה פסיבי בהתנהגותו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וגם לא נגרר כפי שנטען על ידי הסנגור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היה פעיל ודומיננטי – גם בהטמנת מטעני חבלה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בהצבת טילים ומשגרים וגם באיסוף מידע חיוני אותו מסר לאוייבי המדינה מתוך כוונה לסייע להם במלחמתם נגד אזרחי המדינה וחייליה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דבק במטרתו וביצע ניסיונות חוזרים ונשנים לממש את האידיאולוגיה של אירגון הטרור אליו השתייך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גם לא ניתן לזקוף לזכותו של הנאשם את העובדה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חרף ניסיונותיו לרצוח ישראלים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בשני האישומים הראשונים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על ידי הטמנת המטענים ואם על ידי שיגור טילים לישראל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נגרמו אבדות בנפש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רק בדרך נס לא עלה בידו לממש את זממו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במקרה האחד בשל תושיית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שחשפו את הניסיונות להטמין את מטעני החבלה ובמקרה השני כיוון שהטילים ששיגר יחד עם חבריו לא פגעו במטרתם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בתי המשפט השונים הביעו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בשורה ארוכה של פסקי 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את סלידתם ממעשים דוגמת אלה שביצע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ביקש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במעשיו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לזרוע הרס וחורבן ולקטול חיי אדם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ובהזדמנות אחת פעילותו אף סייעה לכך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הענישה בגין מעשים שכאלה חייבת לבטא את חומרתם ובכך – לא רק יבוא לידי ביטוי עקרון הגמול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גם יועבר מסר חד משמעי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לפיו מי שנוטל חלק בפעילות טרור ובביצוע מעשים המכוונים כנגד ביטחון המדינה ואזרחיה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ייענש בחומרה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מלחמת מדינה ישראל בטרור היא יום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יומית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וחלק ממנה היא רמת ענישה גבוהה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יש צורך להרתיע כל חוליה בשרשרת הטרור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יחד 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נתחשב בנסיבותיו האישיות של הנאשם – איש משפחה נשוי ואב לשלושה ילדים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בכך שאין לו הרשעות קודמות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בגילו הצעיר בעת ביצוע העבירות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היה כבן </w:t>
      </w:r>
      <w:r>
        <w:rPr>
          <w:rFonts w:cs="Arial" w:ascii="Arial" w:hAnsi="Arial"/>
          <w:lang w:val="en-US" w:eastAsia="en-US"/>
        </w:rPr>
        <w:t>19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21</w:t>
      </w:r>
      <w:r>
        <w:rPr>
          <w:rFonts w:cs="Arial" w:ascii="Arial" w:hAnsi="Arial"/>
          <w:rtl w:val="true"/>
          <w:lang w:val="en-US" w:eastAsia="en-US"/>
        </w:rPr>
        <w:t xml:space="preserve">); </w:t>
      </w:r>
      <w:r>
        <w:rPr>
          <w:rFonts w:ascii="Arial" w:hAnsi="Arial" w:cs="Arial"/>
          <w:rtl w:val="true"/>
          <w:lang w:val="en-US" w:eastAsia="en-US"/>
        </w:rPr>
        <w:t>בהודייתו בעובדות 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שתוקן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ובכך שהפסיק פעילותו עוד בטרם נעצר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התובעת ביקשה לגזור על הנאשם עונש נפרד בגין האישומים הראשון והשני מחד והאישום השלישי מאידך ולקבוע כי העונשים הנפרדים יהיו מצטברים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לעניין זה יש לזכור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חישוב העונש אינו פעולת כפל אריתמטית על פי מספר הקורבנות או על פי מספר האישומים שהוגשו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לבחון כל מקרה ומקרה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היתר על פי המבחן המהותי</w:t>
      </w:r>
      <w:r>
        <w:rPr>
          <w:rFonts w:cs="Arial" w:ascii="Arial" w:hAnsi="Arial"/>
          <w:vertAlign w:val="superscript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המוסרי שנקבע בפסיקה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ולקבוע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כלל נסיבות העניין ובהתאם לחומרת האירועים העברייניים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האם ראוי לגזור עונש נפרד בגין כל אירוע והאם צבירת העונשים הינה ראויה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לשיקולים שנקבעו בפסיקה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יש להוסיף גם את האמור בתיקון מספר </w:t>
      </w:r>
      <w:r>
        <w:rPr>
          <w:rFonts w:cs="Arial" w:ascii="Arial" w:hAnsi="Arial"/>
          <w:lang w:val="en-US" w:eastAsia="en-US"/>
        </w:rPr>
        <w:t>113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32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שנכנס לתוקפו אך לפני יומיים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ולמרות שאינו חל על גזר הדין שבפנינו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הכרעת הדין כאן נתנה עוד לפני המועד הקובע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הכללים שם יכולים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וצריכים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להנחותנו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סעיף </w:t>
      </w:r>
      <w:hyperlink r:id="rId33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יג</w:t>
        </w:r>
      </w:hyperlink>
      <w:r>
        <w:rPr>
          <w:rFonts w:ascii="Arial" w:hAnsi="Arial" w:cs="Arial"/>
          <w:rtl w:val="true"/>
          <w:lang w:val="en-US" w:eastAsia="en-US"/>
        </w:rPr>
        <w:t xml:space="preserve"> ל</w:t>
      </w:r>
      <w:hyperlink r:id="rId34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שלאחר התיקון האמור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דן בקביעת מתחם ענישה בריבוי אירועים עברייניים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וקובע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ind w:start="1440" w:end="900"/>
        <w:jc w:val="both"/>
        <w:rPr>
          <w:rFonts w:ascii="David" w:hAnsi="David" w:cs="Miriam"/>
          <w:b/>
          <w:bCs/>
          <w:lang w:val="en-US" w:eastAsia="en-US"/>
        </w:rPr>
      </w:pPr>
      <w:r>
        <w:rPr>
          <w:rFonts w:cs="Miriam" w:ascii="David" w:hAnsi="David"/>
          <w:b/>
          <w:bCs/>
          <w:rtl w:val="true"/>
          <w:lang w:val="en-US" w:eastAsia="en-US"/>
        </w:rPr>
        <w:t>"(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א</w:t>
      </w:r>
      <w:r>
        <w:rPr>
          <w:rFonts w:cs="Miriam" w:ascii="David" w:hAnsi="David"/>
          <w:b/>
          <w:bCs/>
          <w:rtl w:val="true"/>
          <w:lang w:val="en-US" w:eastAsia="en-US"/>
        </w:rPr>
        <w:t>)</w:t>
        <w:tab/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הרשיע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בית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המשפט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נאשם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בכמה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עבירות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המהוות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אירוע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אחד</w:t>
      </w:r>
      <w:r>
        <w:rPr>
          <w:rFonts w:cs="Miriam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יקבע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מתחם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עונש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הולם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כאמור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בסעיף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cs="Miriam" w:ascii="David" w:hAnsi="David"/>
          <w:b/>
          <w:bCs/>
          <w:lang w:val="en-US" w:eastAsia="en-US"/>
        </w:rPr>
        <w:t>40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ג</w:t>
      </w:r>
      <w:r>
        <w:rPr>
          <w:rFonts w:cs="Miriam" w:ascii="David" w:hAnsi="David"/>
          <w:b/>
          <w:bCs/>
          <w:rtl w:val="true"/>
          <w:lang w:val="en-US" w:eastAsia="en-US"/>
        </w:rPr>
        <w:t>(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א</w:t>
      </w:r>
      <w:r>
        <w:rPr>
          <w:rFonts w:cs="Miriam" w:ascii="David" w:hAnsi="David"/>
          <w:b/>
          <w:bCs/>
          <w:rtl w:val="true"/>
          <w:lang w:val="en-US" w:eastAsia="en-US"/>
        </w:rPr>
        <w:t xml:space="preserve">)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לאירוע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כולו</w:t>
      </w:r>
      <w:r>
        <w:rPr>
          <w:rFonts w:cs="Miriam" w:ascii="David" w:hAnsi="David"/>
          <w:b/>
          <w:bCs/>
          <w:rtl w:val="true"/>
          <w:lang w:val="en-US" w:eastAsia="en-US"/>
        </w:rPr>
        <w:t>,</w:t>
      </w:r>
      <w:r>
        <w:rPr>
          <w:rFonts w:cs="Miriam" w:ascii="David" w:hAnsi="David"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ויגזור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עונש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כולל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לכל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העבירות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בשל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אותו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אירוע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cs="Miriam" w:ascii="David" w:hAnsi="David"/>
          <w:b/>
          <w:bCs/>
          <w:rtl w:val="true"/>
          <w:lang w:val="en-US" w:eastAsia="en-US"/>
        </w:rPr>
        <w:t>.</w:t>
      </w:r>
    </w:p>
    <w:p>
      <w:pPr>
        <w:pStyle w:val="Normal"/>
        <w:ind w:start="1440" w:end="900"/>
        <w:jc w:val="both"/>
        <w:rPr>
          <w:rFonts w:ascii="David" w:hAnsi="David" w:cs="Miriam"/>
          <w:b/>
          <w:bCs/>
        </w:rPr>
      </w:pPr>
      <w:r>
        <w:rPr>
          <w:rFonts w:cs="Times New Roman"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Cs/>
          <w:rtl w:val="true"/>
          <w:lang w:val="en-US" w:eastAsia="en-US"/>
        </w:rPr>
        <w:t>(</w:t>
      </w:r>
      <w:r>
        <w:rPr>
          <w:rFonts w:cs="Miriam"/>
          <w:b/>
          <w:b/>
          <w:bCs/>
          <w:rtl w:val="true"/>
          <w:lang w:val="en-US" w:eastAsia="en-US"/>
        </w:rPr>
        <w:t>ב</w:t>
      </w:r>
      <w:r>
        <w:rPr>
          <w:rFonts w:cs="Miriam"/>
          <w:b/>
          <w:bCs/>
          <w:rtl w:val="true"/>
          <w:lang w:val="en-US" w:eastAsia="en-US"/>
        </w:rPr>
        <w:t>)</w:t>
        <w:tab/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רשיע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בית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המשפט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נאשם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בכמה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עבירות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המהוות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כמה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אירועים</w:t>
      </w:r>
      <w:r>
        <w:rPr>
          <w:rFonts w:cs="Miriam" w:ascii="David" w:hAnsi="David"/>
          <w:b/>
          <w:bCs/>
          <w:rtl w:val="true"/>
        </w:rPr>
        <w:t>,</w:t>
      </w:r>
      <w:r>
        <w:rPr>
          <w:rFonts w:cs="Miriam" w:ascii="David" w:hAnsi="David"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יקבע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מתחם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עונש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הולם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כאמור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cs="Miriam" w:ascii="David" w:hAnsi="David"/>
          <w:b/>
          <w:bCs/>
          <w:lang w:val="en-US" w:eastAsia="en-US"/>
        </w:rPr>
        <w:t>40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ג</w:t>
      </w:r>
      <w:r>
        <w:rPr>
          <w:rFonts w:cs="Miriam" w:ascii="David" w:hAnsi="David"/>
          <w:b/>
          <w:bCs/>
          <w:rtl w:val="true"/>
          <w:lang w:val="en-US" w:eastAsia="en-US"/>
        </w:rPr>
        <w:t>(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א</w:t>
      </w:r>
      <w:r>
        <w:rPr>
          <w:rFonts w:cs="Miriam" w:ascii="David" w:hAnsi="David"/>
          <w:b/>
          <w:bCs/>
          <w:rtl w:val="true"/>
          <w:lang w:val="en-US" w:eastAsia="en-US"/>
        </w:rPr>
        <w:t xml:space="preserve">)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לכל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אירוע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בנפרד</w:t>
      </w:r>
      <w:r>
        <w:rPr>
          <w:rFonts w:cs="Miriam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ולאחר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מכן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רשאי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הוא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לגזור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עונש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נפרד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לכל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אירוע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או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עונש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כולל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לכל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האירועים</w:t>
      </w:r>
      <w:r>
        <w:rPr>
          <w:rFonts w:cs="Miriam" w:ascii="David" w:hAnsi="David"/>
          <w:b/>
          <w:bCs/>
          <w:rtl w:val="true"/>
          <w:lang w:val="en-US" w:eastAsia="en-US"/>
        </w:rPr>
        <w:t xml:space="preserve">;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גזר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ביהמ</w:t>
      </w:r>
      <w:r>
        <w:rPr>
          <w:rFonts w:cs="Miriam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ש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עונש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נפרד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לכל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אירוע</w:t>
      </w:r>
      <w:r>
        <w:rPr>
          <w:rFonts w:cs="Miriam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יקבע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את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מידת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החפיפה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בין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העונשים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או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הצטברותם</w:t>
      </w:r>
      <w:r>
        <w:rPr>
          <w:rFonts w:cs="Miriam" w:ascii="David" w:hAnsi="David"/>
          <w:b/>
          <w:bCs/>
          <w:rtl w:val="true"/>
          <w:lang w:val="en-US" w:eastAsia="en-US"/>
        </w:rPr>
        <w:t>.</w:t>
      </w:r>
    </w:p>
    <w:p>
      <w:pPr>
        <w:pStyle w:val="Normal"/>
        <w:ind w:start="1440" w:end="900"/>
        <w:jc w:val="both"/>
        <w:rPr>
          <w:rFonts w:ascii="David" w:hAnsi="David" w:cs="Miriam"/>
          <w:b/>
          <w:bCs/>
          <w:lang w:val="en-US" w:eastAsia="en-US"/>
        </w:rPr>
      </w:pPr>
      <w:r>
        <w:rPr>
          <w:rFonts w:cs="Miriam"/>
          <w:b/>
          <w:bCs/>
          <w:rtl w:val="true"/>
          <w:lang w:val="en-US" w:eastAsia="en-US"/>
        </w:rPr>
        <w:t>(</w:t>
      </w:r>
      <w:r>
        <w:rPr>
          <w:rFonts w:cs="Miriam"/>
          <w:b/>
          <w:b/>
          <w:bCs/>
          <w:rtl w:val="true"/>
          <w:lang w:val="en-US" w:eastAsia="en-US"/>
        </w:rPr>
        <w:t>ג</w:t>
      </w:r>
      <w:r>
        <w:rPr>
          <w:rFonts w:cs="Miriam"/>
          <w:b/>
          <w:bCs/>
          <w:rtl w:val="true"/>
          <w:lang w:val="en-US" w:eastAsia="en-US"/>
        </w:rPr>
        <w:t>)</w:t>
        <w:tab/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בגזירת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העונש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לפי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סעיף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זה</w:t>
      </w:r>
      <w:r>
        <w:rPr>
          <w:rFonts w:cs="Miriam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יתחשב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ביהמ</w:t>
      </w:r>
      <w:r>
        <w:rPr>
          <w:rFonts w:cs="Miriam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ש</w:t>
      </w:r>
      <w:r>
        <w:rPr>
          <w:rFonts w:cs="Miriam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בין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השאר</w:t>
      </w:r>
      <w:r>
        <w:rPr>
          <w:rFonts w:cs="Miriam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במספר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העבירות</w:t>
      </w:r>
      <w:r>
        <w:rPr>
          <w:rFonts w:cs="Miriam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בתדירותן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ובזיקה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ביניהן</w:t>
      </w:r>
      <w:r>
        <w:rPr>
          <w:rFonts w:cs="Miriam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וישמור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על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יחס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הולם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בין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חומרת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מכלול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המעשים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ומידת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אשמו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של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הנאשם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לבין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סוג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העונש</w:t>
      </w:r>
      <w:r>
        <w:rPr>
          <w:rFonts w:cs="Miriam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ואם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גזר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עונש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מאסר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–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לבין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תקופת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המאסר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שעל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הנאשם</w:t>
      </w:r>
      <w:r>
        <w:rPr>
          <w:rFonts w:ascii="David" w:hAnsi="David" w:eastAsia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 w:cs="Miriam"/>
          <w:b/>
          <w:b/>
          <w:bCs/>
          <w:rtl w:val="true"/>
          <w:lang w:val="en-US" w:eastAsia="en-US"/>
        </w:rPr>
        <w:t>לשאת</w:t>
      </w:r>
      <w:r>
        <w:rPr>
          <w:rFonts w:cs="Miriam" w:ascii="David" w:hAnsi="David"/>
          <w:b/>
          <w:bCs/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מקריאת סעיף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רקע התיקון כולו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כוונת המחוקק הייתה ליתן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בעת גזירת הדין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משקל של ממש לכל אירוע עברייני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שמא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ייבלע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בעונש כולל באופן שלא ישמור על יחס הולם בין חומרת כל המעשים וכל האירועים לבין העונש שייגזר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ובענייננו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קשה להגזים בתיאור חומרת התוצאה של האירוע הרצחני נשוא האישום השלישי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ועל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ונוכח הסבל הרב ורחב ההיקף שנגרם בעקבותיו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מוצדק לגזור על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שפעולותיו הן שבין היתר אפשרו את ביצוע הפיגוע שהביא לתוצאה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עונשים נפרדים בגין אירוע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ומצטברים לעונשים שייגזרו בגין האירועים האחרים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  <w:lang w:val="en-US" w:eastAsia="en-US"/>
        </w:rPr>
        <w:t>גם הפעלת המבחן המהותי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מוסרי שנקבע בפסיקה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באשר לענישה המצטברת בשל ריבוי קורבנות מחייבת תוצאה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נוכח ההכרה בקדושתם המיוחדת של חיי אדם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העומדת ביסוד תפיסתנו המוסרית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על פי המבחן המהותי</w:t>
      </w:r>
      <w:r>
        <w:rPr>
          <w:rFonts w:cs="Arial" w:ascii="Arial" w:hAnsi="Arial"/>
          <w:vertAlign w:val="superscript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מוסרי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ענישה כאמור מתחייבת אף לצורך העברת מסר תקיף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שמטרתו להרתיע את מי שבמעשיו עלול לסייע לארגוני הטרור לקדם את מטרתם ולסייע להם בהשגתה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ואך בכך יש להשליך על התוצאה העונשית שבפנינו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אשר על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אנו דנים את הנאשם לעונשים הבאים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בגין העבירות נשוא האישומים הראשון והשני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אנו דנים את הנאשם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  <w:tab/>
      </w:r>
      <w:r>
        <w:rPr>
          <w:rFonts w:ascii="Arial" w:hAnsi="Arial" w:cs="Arial"/>
          <w:rtl w:val="true"/>
          <w:lang w:val="en-US" w:eastAsia="en-US"/>
        </w:rPr>
        <w:t>שנות מאסר בפועל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בגין העבירות נשוא האישום השלישי אנו דנים את הנאשם לעונש מאסר בפועל 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של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עונשי המאסר ירוצו חלקם במצטבר האחד לשני וחלקם בחופף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כך שסך הל על הנאשם לרצות </w:t>
      </w:r>
      <w:r>
        <w:rPr>
          <w:rFonts w:cs="Arial" w:ascii="Arial" w:hAnsi="Arial"/>
          <w:lang w:val="en-US" w:eastAsia="en-US"/>
        </w:rPr>
        <w:t>35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החל מיום המעצר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החל מיום </w:t>
      </w:r>
      <w:r>
        <w:rPr>
          <w:rFonts w:cs="Arial" w:ascii="Arial" w:hAnsi="Arial"/>
          <w:lang w:val="en-US" w:eastAsia="en-US"/>
        </w:rPr>
        <w:t>11/11/09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זכות ערעור תוך </w:t>
      </w:r>
      <w:r>
        <w:rPr>
          <w:rFonts w:cs="Arial" w:ascii="Arial" w:hAnsi="Arial"/>
          <w:b/>
          <w:bCs/>
          <w:lang w:val="en-US" w:eastAsia="en-US"/>
        </w:rPr>
        <w:t>45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יום לביהמ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 העליון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54678313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ניתן 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כב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תמוז תשע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12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יולי </w:t>
      </w:r>
      <w:r>
        <w:rPr>
          <w:rFonts w:cs="Arial" w:ascii="Arial" w:hAnsi="Arial"/>
          <w:b/>
          <w:bCs/>
          <w:lang w:val="en-US" w:eastAsia="en-US"/>
        </w:rPr>
        <w:t>2012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במעמד הצדדים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tbl>
      <w:tblPr>
        <w:bidiVisual w:val="true"/>
        <w:tblW w:w="769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101"/>
        <w:gridCol w:w="239"/>
        <w:gridCol w:w="2461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4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הנשיא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רויטל יפה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ץ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אריאל ואגו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4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יורם צלקובניק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ץ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Header"/>
        <w:ind w:end="0"/>
        <w:jc w:val="start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נוסח מסמך זה כפוף לשינויי ניסוח ועריכה</w:t>
      </w:r>
    </w:p>
    <w:p>
      <w:pPr>
        <w:pStyle w:val="Header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Header"/>
        <w:ind w:end="0"/>
        <w:jc w:val="center"/>
        <w:rPr>
          <w:rFonts w:ascii="Arial" w:hAnsi="Arial" w:cs="Arial"/>
          <w:color w:val="0000FF"/>
          <w:u w:val="single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בעניין עריכה ושינויים במסמכי פסיקה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חקיקה ועוד באתר נבו – הקש כאן</w:t>
      </w:r>
    </w:p>
    <w:p>
      <w:pPr>
        <w:pStyle w:val="Header"/>
        <w:ind w:end="0"/>
        <w:jc w:val="center"/>
        <w:rPr>
          <w:rFonts w:ascii="Arial" w:hAnsi="Arial" w:cs="Arial"/>
          <w:color w:val="0000FF"/>
          <w:u w:val="single"/>
          <w:lang w:val="en-US" w:eastAsia="en-US"/>
        </w:rPr>
      </w:pPr>
      <w:r>
        <w:rPr>
          <w:rFonts w:cs="Arial" w:ascii="Arial" w:hAnsi="Arial"/>
          <w:color w:val="0000FF"/>
          <w:u w:val="single"/>
          <w:rtl w:val="true"/>
          <w:lang w:val="en-US" w:eastAsia="en-US"/>
        </w:rPr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187" w:top="1701" w:footer="284" w:bottom="567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1152/09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1152-09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מהרה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754839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  &lt;xs:element name=&quot;IsExistSeizure&quot; type=&quot;xs:boolean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32754839&lt;/CaseID&gt;&#10;        &lt;CaseMonth&gt;24&lt;/CaseMonth&gt;&#10;        &lt;CaseYear&gt;2009&lt;/CaseYear&gt;&#10;        &lt;CaseNumber&gt;205285&lt;/CaseNumber&gt;&#10;        &lt;NumeratorGroupID&gt;1&lt;/NumeratorGroupID&gt;&#10;        &lt;CaseName&gt;î.é. ôø÷ìéèåú îçåæ ãøåí-ôìéìé ð' îäøä(òöéø)&lt;/CaseName&gt;&#10;        &lt;CourtID&gt;16&lt;/CourtID&gt;&#10;        &lt;CaseTypeID&gt;10077&lt;/CaseTypeID&gt;&#10;        &lt;CaseJudgeName&gt;øåéèì éôä ëõ&lt;/CaseJudgeName&gt;&#10;        &lt;CaseLinkTypeID&gt;10&lt;/CaseLinkTypeID&gt;&#10;        &lt;ProcedureID&gt;2&lt;/ProcedureID&gt;&#10;        &lt;PreviousCaseYear&gt;2009&lt;/PreviousCaseYear&gt;&#10;        &lt;PreviousCaseNumber&gt;1152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1152-09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150&lt;/CaseNextDeterminingTask&gt;&#10;        &lt;CaseOpenDate&gt;2009-12-15T00:00:00.0000000+02:00&lt;/CaseOpenDate&gt;&#10;        &lt;PleaTypeID&gt;8&lt;/PleaTypeID&gt;&#10;        &lt;CourtLevelID&gt;2&lt;/CourtLevelID&gt;&#10;        &lt;CaseJudgeFirstName&gt;øåéèì&lt;/CaseJudgeFirstName&gt;&#10;        &lt;CaseJudgeLastName&gt;éôä ëõ&lt;/CaseJudgeLastName&gt;&#10;        &lt;JudicalPersonID&gt;054303474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IsMainCase&gt;false&lt;/IsMainCase&gt;&#10;        &lt;PreviousCourtID&gt;55&lt;/PreviousCourtID&gt;&#10;        &lt;PreviousCaseTypeID&gt;74&lt;/PreviousCaseTypeID&gt;&#10;        &lt;CaseDesc&gt;äçìèä îéåí 15.5.12 ðùìçä ìöããéí áô÷ñ&#10;&#10;ñéîä&#10;&#10;15.5.12&lt;/CaseDesc&gt;&#10;        &lt;isExistMinorSide&gt;false&lt;/isExistMinorSide&gt;&#10;        &lt;isExistMinorWitness&gt;false&lt;/isExistMinorWitness&gt;&#10;        &lt;PreviousCaseIdentifier&gt;055ôç 200900115200&lt;/PreviousCaseIdentifier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12-07-12T04:15:00.0000000+03:00&lt;/DebitExsitDate&gt;&#10;        &lt;IsExistSeizure&gt;false&lt;/IsExistSeizur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32754839&lt;/CaseID&gt;&#10;        &lt;CaseMonth&gt;24&lt;/CaseMonth&gt;&#10;        &lt;CaseYear&gt;2009&lt;/CaseYear&gt;&#10;        &lt;CaseNumber&gt;205285&lt;/CaseNumber&gt;&#10;        &lt;NumeratorGroupID&gt;1&lt;/NumeratorGroupID&gt;&#10;        &lt;CaseName&gt;î.é. ôø÷ìéèåú îçåæ ãøåí-ôìéìé ð' îäøä(òöéø)&lt;/CaseName&gt;&#10;        &lt;CourtID&gt;16&lt;/CourtID&gt;&#10;        &lt;CaseTypeID&gt;10077&lt;/CaseTypeID&gt;&#10;        &lt;CaseJudgeName&gt;øåéèì éôä ëõ&lt;/CaseJudgeName&gt;&#10;        &lt;CaseLinkTypeID&gt;10&lt;/CaseLinkTypeID&gt;&#10;        &lt;ProcedureID&gt;2&lt;/ProcedureID&gt;&#10;        &lt;PreviousCaseYear&gt;2009&lt;/PreviousCaseYear&gt;&#10;        &lt;PreviousCaseNumber&gt;1152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1152-09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150&lt;/CaseNextDeterminingTask&gt;&#10;        &lt;CaseOpenDate&gt;2009-12-15T00:00:00.0000000+02:00&lt;/CaseOpenDate&gt;&#10;        &lt;PleaTypeID&gt;8&lt;/PleaTypeID&gt;&#10;        &lt;CourtLevelID&gt;2&lt;/CourtLevelID&gt;&#10;        &lt;CaseJudgeFirstName&gt;øåéèì&lt;/CaseJudgeFirstName&gt;&#10;        &lt;CaseJudgeLastName&gt;éôä ëõ&lt;/CaseJudgeLastName&gt;&#10;        &lt;JudicalPersonID&gt;054303474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IsMainCase&gt;false&lt;/IsMainCase&gt;&#10;        &lt;PreviousCourtID&gt;55&lt;/PreviousCourtID&gt;&#10;        &lt;PreviousCaseTypeID&gt;74&lt;/PreviousCaseTypeID&gt;&#10;        &lt;CaseDesc&gt;äçìèä îéåí 15.5.12 ðùìçä ìöããéí áô÷ñ&#10;&#10;ñéîä&#10;&#10;15.5.12&lt;/CaseDesc&gt;&#10;        &lt;PreviousCaseIdentifier&gt;055ôç 200900115200&lt;/PreviousCaseIdentifier&gt;&#10;      &lt;/CasePresentationDataSet&gt;&#10;    &lt;/diffgr:before&gt;&#10;  &lt;/diffgr:diffgram&gt;&#10;&lt;/CasePresentationDS&gt;"/>
    <w:docVar w:name="CourtID" w:val="16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81327438&lt;/DecisionID&gt;&#10;        &lt;DecisionName&gt;âæø ãéï  îúàøéê  29/06/12  ùðéúðä ò&quot;é  øåéèì éôä ëõ&lt;/DecisionName&gt;&#10;        &lt;DecisionStatusID&gt;1&lt;/DecisionStatusID&gt;&#10;        &lt;DecisionStatusChangeDate&gt;2012-07-11T16:14:00.1330000+03:00&lt;/DecisionStatusChangeDate&gt;&#10;        &lt;DecisionSignatureDate&gt;2012-06-29T09:57:03.0800000+03:00&lt;/DecisionSignatureDate&gt;&#10;        &lt;DecisionSignatureUserID&gt;054303474@GOV.IL&lt;/DecisionSignatureUserID&gt;&#10;        &lt;DecisionCreateDate&gt;2012-06-29T10:02:08.3430000+03:00&lt;/DecisionCreateDate&gt;&#10;        &lt;DecisionChangeDate&gt;2012-07-11T16:14:00.7800000+03:00&lt;/DecisionChangeDate&gt;&#10;        &lt;DecisionChangeUserID&gt;054303474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43961597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4303474@GOV.IL&lt;/DecisionWriterID&gt;&#10;        &lt;IsInstruction&gt;false&lt;/IsInstruction&gt;&#10;        &lt;IsNeedAllSignatures&gt;false&lt;/IsNeedAllSignatures&gt;&#10;        &lt;DecisionAttributeID&gt;1&lt;/DecisionAttributeID&gt;&#10;        &lt;DecisionCreationUserID&gt;054303474@GOV.IL&lt;/DecisionCreationUserID&gt;&#10;        &lt;DecisionDisplayName&gt;âæø ãéï  îúàøéê  29/06/12  ùðéúðä ò&quot;é  øåéèì éôä ëõ&lt;/DecisionDisplayName&gt;&#10;        &lt;IsScanned&gt;false&lt;/IsScanned&gt;&#10;        &lt;DecisionSignatureUserName&gt;øåéèì éôä ëõ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81327438&lt;/DecisionID&gt;&#10;        &lt;CaseID&gt;32754839&lt;/CaseID&gt;&#10;        &lt;IsOriginal&gt;true&lt;/IsOriginal&gt;&#10;        &lt;IsDeleted&gt;false&lt;/IsDeleted&gt;&#10;        &lt;CaseName&gt;î.é. ôø÷ìéèåú îçåæ ãøåí-ôìéìé ð' îäøä(òöéø)&lt;/CaseName&gt;&#10;        &lt;CaseDisplayIdentifier&gt;1152-09 úô&quot;ç&lt;/CaseDisplayIdentifier&gt;&#10;      &lt;/dt_DecisionCase&gt;&#10;      &lt;dt_DecisionJudgePanel diffgr:id=&quot;dt_DecisionJudgePanel1&quot; msdata:rowOrder=&quot;0&quot;&gt;&#10;        &lt;DecisionID&gt;81327438&lt;/DecisionID&gt;&#10;        &lt;JudgeID&gt;054303474@GOV.IL&lt;/JudgeID&gt;&#10;        &lt;OrdinalNumber&gt;1&lt;/OrdinalNumber&gt;&#10;      &lt;/dt_DecisionJudgePanel&gt;&#10;      &lt;dt_DecisionJudgePanel diffgr:id=&quot;dt_DecisionJudgePanel2&quot; msdata:rowOrder=&quot;1&quot;&gt;&#10;        &lt;DecisionID&gt;81327438&lt;/DecisionID&gt;&#10;        &lt;JudgeID&gt;065372526@GOV.IL&lt;/JudgeID&gt;&#10;        &lt;OrdinalNumber&gt;2&lt;/OrdinalNumber&gt;&#10;      &lt;/dt_DecisionJudgePanel&gt;&#10;      &lt;dt_DecisionJudgePanel diffgr:id=&quot;dt_DecisionJudgePanel3&quot; msdata:rowOrder=&quot;2&quot;&gt;&#10;        &lt;DecisionID&gt;81327438&lt;/DecisionID&gt;&#10;        &lt;JudgeID&gt;030531875@GOV.IL&lt;/JudgeID&gt;&#10;        &lt;OrdinalNumber&gt;3&lt;/OrdinalNumber&gt;&#10;      &lt;/dt_DecisionJudgePanel&gt;&#10;    &lt;/DecisionDS&gt;&#10;  &lt;/diffgr:diffgram&gt;&#10;&lt;/DecisionDS&gt;"/>
    <w:docVar w:name="DecisionID" w:val="81327438"/>
    <w:docVar w:name="docID" w:val="143961597"/>
    <w:docVar w:name="judgeUPN" w:val="054303474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54303474@GOV.IL"/>
    <w:docVar w:name="noteDocID" w:val="143961597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515" TargetMode="External"/><Relationship Id="rId3" Type="http://schemas.openxmlformats.org/officeDocument/2006/relationships/hyperlink" Target="http://www.nevo.co.il/law/72515/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92" TargetMode="External"/><Relationship Id="rId6" Type="http://schemas.openxmlformats.org/officeDocument/2006/relationships/hyperlink" Target="http://www.nevo.co.il/law/70301/111" TargetMode="External"/><Relationship Id="rId7" Type="http://schemas.openxmlformats.org/officeDocument/2006/relationships/hyperlink" Target="http://www.nevo.co.il/law/70301/11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305.1" TargetMode="External"/><Relationship Id="rId10" Type="http://schemas.openxmlformats.org/officeDocument/2006/relationships/hyperlink" Target="http://www.nevo.co.il/law/70301/40jc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2515/3" TargetMode="External"/><Relationship Id="rId13" Type="http://schemas.openxmlformats.org/officeDocument/2006/relationships/hyperlink" Target="http://www.nevo.co.il/law/72515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305.1" TargetMode="External"/><Relationship Id="rId18" Type="http://schemas.openxmlformats.org/officeDocument/2006/relationships/hyperlink" Target="http://www.nevo.co.il/law/72515/3" TargetMode="External"/><Relationship Id="rId19" Type="http://schemas.openxmlformats.org/officeDocument/2006/relationships/hyperlink" Target="http://www.nevo.co.il/law/72515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99.a.1" TargetMode="External"/><Relationship Id="rId23" Type="http://schemas.openxmlformats.org/officeDocument/2006/relationships/hyperlink" Target="http://www.nevo.co.il/law/70301/305.1" TargetMode="External"/><Relationship Id="rId24" Type="http://schemas.openxmlformats.org/officeDocument/2006/relationships/hyperlink" Target="http://www.nevo.co.il/law/70301/114.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2515/3" TargetMode="External"/><Relationship Id="rId27" Type="http://schemas.openxmlformats.org/officeDocument/2006/relationships/hyperlink" Target="http://www.nevo.co.il/law/72515" TargetMode="External"/><Relationship Id="rId28" Type="http://schemas.openxmlformats.org/officeDocument/2006/relationships/hyperlink" Target="http://www.nevo.co.il/law/70301/92" TargetMode="External"/><Relationship Id="rId29" Type="http://schemas.openxmlformats.org/officeDocument/2006/relationships/hyperlink" Target="http://www.nevo.co.il/law/70301/111" TargetMode="External"/><Relationship Id="rId30" Type="http://schemas.openxmlformats.org/officeDocument/2006/relationships/hyperlink" Target="http://www.nevo.co.il/law/70301/499.a.1" TargetMode="External"/><Relationship Id="rId31" Type="http://schemas.openxmlformats.org/officeDocument/2006/relationships/hyperlink" Target="http://www.nevo.co.il/law/70301/111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0jc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2016-03-14T10:24:00Z</dcterms:created>
  <dc:creator> </dc:creator>
  <dc:description/>
  <cp:keywords/>
  <dc:language>en-IL</dc:language>
  <cp:lastModifiedBy>hofit</cp:lastModifiedBy>
  <cp:lastPrinted>2012-07-11T16:13:00Z</cp:lastPrinted>
  <dcterms:modified xsi:type="dcterms:W3CDTF">2016-03-14T10:24:00Z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מחמד מהרה</vt:lpwstr>
  </property>
  <property fmtid="{D5CDD505-2E9C-101B-9397-08002B2CF9AE}" pid="4" name="CITY">
    <vt:lpwstr>ב"ש</vt:lpwstr>
  </property>
  <property fmtid="{D5CDD505-2E9C-101B-9397-08002B2CF9AE}" pid="5" name="DATE">
    <vt:lpwstr>20120712</vt:lpwstr>
  </property>
  <property fmtid="{D5CDD505-2E9C-101B-9397-08002B2CF9AE}" pid="6" name="ISABSTRACT">
    <vt:lpwstr>Y</vt:lpwstr>
  </property>
  <property fmtid="{D5CDD505-2E9C-101B-9397-08002B2CF9AE}" pid="7" name="JUDGE">
    <vt:lpwstr>ר. יפה כ"ץ;א. ואגו;י. צלקובניק</vt:lpwstr>
  </property>
  <property fmtid="{D5CDD505-2E9C-101B-9397-08002B2CF9AE}" pid="8" name="LAWLISTTMP1">
    <vt:lpwstr>72515/003:3</vt:lpwstr>
  </property>
  <property fmtid="{D5CDD505-2E9C-101B-9397-08002B2CF9AE}" pid="9" name="LAWLISTTMP2">
    <vt:lpwstr>70301/499.a.1:3;144.b:2;305.1:2;114.a;092;111:2;40jc</vt:lpwstr>
  </property>
  <property fmtid="{D5CDD505-2E9C-101B-9397-08002B2CF9AE}" pid="10" name="LAWYER">
    <vt:lpwstr>מורן גז;פמ"ד;מחמד ג'בארין</vt:lpwstr>
  </property>
  <property fmtid="{D5CDD505-2E9C-101B-9397-08002B2CF9AE}" pid="11" name="NEWPARTA">
    <vt:lpwstr>1152</vt:lpwstr>
  </property>
  <property fmtid="{D5CDD505-2E9C-101B-9397-08002B2CF9AE}" pid="12" name="NEWPARTB">
    <vt:lpwstr/>
  </property>
  <property fmtid="{D5CDD505-2E9C-101B-9397-08002B2CF9AE}" pid="13" name="NEWPARTC">
    <vt:lpwstr>09</vt:lpwstr>
  </property>
  <property fmtid="{D5CDD505-2E9C-101B-9397-08002B2CF9AE}" pid="14" name="NEWPROC">
    <vt:lpwstr>תפח</vt:lpwstr>
  </property>
  <property fmtid="{D5CDD505-2E9C-101B-9397-08002B2CF9AE}" pid="15" name="PROCNUM">
    <vt:lpwstr>1152</vt:lpwstr>
  </property>
  <property fmtid="{D5CDD505-2E9C-101B-9397-08002B2CF9AE}" pid="16" name="PROCYEAR">
    <vt:lpwstr>09</vt:lpwstr>
  </property>
  <property fmtid="{D5CDD505-2E9C-101B-9397-08002B2CF9AE}" pid="17" name="PSAKDIN">
    <vt:lpwstr>גזר-דין</vt:lpwstr>
  </property>
  <property fmtid="{D5CDD505-2E9C-101B-9397-08002B2CF9AE}" pid="18" name="TYPE">
    <vt:lpwstr>2</vt:lpwstr>
  </property>
  <property fmtid="{D5CDD505-2E9C-101B-9397-08002B2CF9AE}" pid="19" name="TYPE_ABS_DATE">
    <vt:lpwstr>390020120712</vt:lpwstr>
  </property>
  <property fmtid="{D5CDD505-2E9C-101B-9397-08002B2CF9AE}" pid="20" name="TYPE_N_DATE">
    <vt:lpwstr>39020120712</vt:lpwstr>
  </property>
  <property fmtid="{D5CDD505-2E9C-101B-9397-08002B2CF9AE}" pid="21" name="WORDNUMPAGES">
    <vt:lpwstr>8</vt:lpwstr>
  </property>
</Properties>
</file>