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11644-01-10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אבוטבול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11657-01-10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הרכב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אלרון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רניאל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לירן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יצחק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אבוטבול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305324402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אמיר אליאל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מירון רוזנטל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סאמר ביסאן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הובא באמצעות יחידת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start"/>
        <w:rPr/>
      </w:pPr>
      <w:bookmarkStart w:id="7" w:name="ABSTRACT_START"/>
      <w:bookmarkEnd w:id="7"/>
      <w:r>
        <w:rPr>
          <w:rtl w:val="true"/>
        </w:rPr>
        <w:t>הנאשם הורשע על פי הודאתו במסגרת הסדר טיעון בעבירות המיוחסות לו בכתב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העבירות בהן הורשע הנאשם הן עבירות לפי סעיפים </w:t>
      </w:r>
      <w:r>
        <w:rPr/>
        <w:t>329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).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דהיינו חבלה בכוונה מחמירה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 והובלת 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באי כח הצדדים הניחו בפני בית המשפט מסגרת עונשית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 ועונש מאסר מותנה לשיקול דעת בית המשפט</w:t>
      </w:r>
      <w:r>
        <w:rPr>
          <w:rtl w:val="true"/>
        </w:rPr>
        <w:t xml:space="preserve">, </w:t>
      </w:r>
      <w:r>
        <w:rPr>
          <w:rtl w:val="true"/>
        </w:rPr>
        <w:t>וזאת בניכוי ימי מעצרו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במועד הרלוונטי לכתב האישום הנאשם היה מסוכסך עם אחד מרק דנילוב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וביום ה</w:t>
      </w:r>
      <w:r>
        <w:rPr>
          <w:rtl w:val="true"/>
        </w:rPr>
        <w:t>-</w:t>
      </w:r>
      <w:r>
        <w:rPr/>
        <w:t>12.12.09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או בסמוך לכך הגיע הנאשם בסמוך לביתו של המתלונן כשהוא נושא אקדח טעון</w:t>
      </w:r>
      <w:r>
        <w:rPr>
          <w:rtl w:val="true"/>
        </w:rPr>
        <w:t xml:space="preserve">, </w:t>
      </w:r>
      <w:r>
        <w:rPr>
          <w:rtl w:val="true"/>
        </w:rPr>
        <w:t>מחסנית וכדורים המהווים תחמושת על פי דין</w:t>
      </w:r>
      <w:r>
        <w:rPr>
          <w:rtl w:val="true"/>
        </w:rPr>
        <w:t xml:space="preserve">, </w:t>
      </w:r>
      <w:r>
        <w:rPr>
          <w:rtl w:val="true"/>
        </w:rPr>
        <w:t>אותם נשא והוביל אל זירת האירוע והחזיקם ללא רשות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 צוין בכתב האישום כי דקות אחדות לפני הגעתו של הנאשם אל רחוב מגורי המתלונן</w:t>
      </w:r>
      <w:r>
        <w:rPr>
          <w:rtl w:val="true"/>
        </w:rPr>
        <w:t xml:space="preserve">, </w:t>
      </w:r>
      <w:r>
        <w:rPr>
          <w:rtl w:val="true"/>
        </w:rPr>
        <w:t>שלף הנאשם את הנשק מחלקו הקדמי של מכנס ושם פעמיו אל עבר ביתו של המתלונן</w:t>
      </w:r>
      <w:r>
        <w:rPr>
          <w:rtl w:val="true"/>
        </w:rPr>
        <w:t xml:space="preserve">. </w:t>
      </w:r>
      <w:r>
        <w:rPr>
          <w:rtl w:val="true"/>
        </w:rPr>
        <w:t>משזיהה הנאשם את זה האחרון עומד בסמוך לבית מגוריו</w:t>
      </w:r>
      <w:r>
        <w:rPr>
          <w:rtl w:val="true"/>
        </w:rPr>
        <w:t xml:space="preserve">, </w:t>
      </w:r>
      <w:r>
        <w:rPr>
          <w:rtl w:val="true"/>
        </w:rPr>
        <w:t xml:space="preserve">אחז בידו בנשק וירה לעבר פלג גופו העליון של המתלונן מטווח קצר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כל זאת בכוונה להטיל במתלונן נכות או מום ולגרום לו לחבלה חמורה</w:t>
      </w:r>
      <w:r>
        <w:rPr>
          <w:rtl w:val="true"/>
        </w:rPr>
        <w:t xml:space="preserve">, </w:t>
      </w:r>
      <w:r>
        <w:rPr>
          <w:rtl w:val="true"/>
        </w:rPr>
        <w:t>ומיד לאחר מכן נמלט מזירת 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כתוצאה מירי הנאשם נפגע המתלונן באורח קשה ביותר</w:t>
      </w:r>
      <w:r>
        <w:rPr>
          <w:rtl w:val="true"/>
        </w:rPr>
        <w:t xml:space="preserve">, </w:t>
      </w:r>
      <w:r>
        <w:rPr>
          <w:rtl w:val="true"/>
        </w:rPr>
        <w:t>ונגרמו לו פצעי ירי בחלקי גוף 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 הודיית הנאשם ומפאת גילו הופנה לשירות המבחן לצורך קבלת תסקיר בעניינו</w:t>
      </w:r>
      <w:r>
        <w:rPr>
          <w:rtl w:val="true"/>
        </w:rPr>
        <w:t xml:space="preserve">, </w:t>
      </w:r>
      <w:r>
        <w:rPr>
          <w:rtl w:val="true"/>
        </w:rPr>
        <w:t>קצינת המבחן למבוגרים פירטה בהרחבה את מכלול נסיבותיו האישיות והמשפחתיות</w:t>
      </w:r>
      <w:r>
        <w:rPr>
          <w:rtl w:val="true"/>
        </w:rPr>
        <w:t xml:space="preserve">, </w:t>
      </w:r>
      <w:r>
        <w:rPr>
          <w:rtl w:val="true"/>
        </w:rPr>
        <w:t>כאשר מפאת צינעת הפרט לא נפרטן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נציין כי הנאשם מוכר לשירות המבחן על רקע עבירות רכוש ומירמה שונות אותן ביצע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בסיכומו של התסקיר ציינה קצינת המבחן כי להתרשמותה בהעדר מתן טיפול אינטנסיבי לנאשם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התייחס </w:t>
      </w:r>
      <w:r>
        <w:rPr>
          <w:rtl w:val="true"/>
        </w:rPr>
        <w:t>"</w:t>
      </w:r>
      <w:r>
        <w:rPr>
          <w:rtl w:val="true"/>
        </w:rPr>
        <w:t>להפרחת הקודים העבריינים</w:t>
      </w:r>
      <w:r>
        <w:rPr>
          <w:rtl w:val="true"/>
        </w:rPr>
        <w:t xml:space="preserve">" </w:t>
      </w:r>
      <w:r>
        <w:rPr>
          <w:rtl w:val="true"/>
        </w:rPr>
        <w:t>ויעסוק בהתנהגות אלטרנטיבית מקובלת</w:t>
      </w:r>
      <w:r>
        <w:rPr>
          <w:rtl w:val="true"/>
        </w:rPr>
        <w:t xml:space="preserve">, </w:t>
      </w:r>
      <w:r>
        <w:rPr>
          <w:rtl w:val="true"/>
        </w:rPr>
        <w:t>אזי הוא עלול להשתחרר ממאסרו כאשר בידיו מיומנויות נרחבות יותר להמשך פעילות בעולם העבריינות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לבקשתו של הנאשם המליצה קצינת המבחן לשקול מתן הוראה לשלטונות שב</w:t>
      </w:r>
      <w:r>
        <w:rPr>
          <w:rtl w:val="true"/>
        </w:rPr>
        <w:t>"</w:t>
      </w:r>
      <w:r>
        <w:rPr>
          <w:rtl w:val="true"/>
        </w:rPr>
        <w:t>ס להפנותו לבית סוהר שיקומי בהתאם לאפשרויות הקיימות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באי כח הצדדים ביקשו מאיתנו בטיעוניהם לעונש לאמץ את העונש עליו הוסכם במסגרת הסדר 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בטיעוניו לעונש חזר והדגיש את שטען בפנינו בעת הצגת ההסדר</w:t>
      </w:r>
      <w:r>
        <w:rPr>
          <w:rtl w:val="true"/>
        </w:rPr>
        <w:t xml:space="preserve">, </w:t>
      </w:r>
      <w:r>
        <w:rPr>
          <w:rtl w:val="true"/>
        </w:rPr>
        <w:t>כי עיקר הסיבות שהביאו את המאשימה להגעה למסגרת הסדר זו</w:t>
      </w:r>
      <w:r>
        <w:rPr>
          <w:rtl w:val="true"/>
        </w:rPr>
        <w:t xml:space="preserve">, </w:t>
      </w:r>
      <w:r>
        <w:rPr>
          <w:rtl w:val="true"/>
        </w:rPr>
        <w:t>נעוצה בקשיים ראייתיים בחומר החקירתי</w:t>
      </w:r>
      <w:r>
        <w:rPr>
          <w:rtl w:val="true"/>
        </w:rPr>
        <w:t xml:space="preserve">, </w:t>
      </w:r>
      <w:r>
        <w:rPr>
          <w:rtl w:val="true"/>
        </w:rPr>
        <w:t>וכן בהעדר הצורך בהעדת המתלונן</w:t>
      </w:r>
      <w:r>
        <w:rPr>
          <w:rtl w:val="true"/>
        </w:rPr>
        <w:t xml:space="preserve">, </w:t>
      </w:r>
      <w:r>
        <w:rPr>
          <w:rtl w:val="true"/>
        </w:rPr>
        <w:t>הורה הנאשם הודיית הנאשם בפתח משפטו מבלי שהיה צורך בשמיעת ראיות 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באי כח הנאשם חזרו אף הם על הנימוקים שבבסיס ההסדר</w:t>
      </w:r>
      <w:r>
        <w:rPr>
          <w:rtl w:val="true"/>
        </w:rPr>
        <w:t xml:space="preserve">, </w:t>
      </w:r>
      <w:r>
        <w:rPr>
          <w:rtl w:val="true"/>
        </w:rPr>
        <w:t>תוך שהפנו להיבטים שונים בהסכם שירות המבחן באשר לאפשרויות שיקומו העתידי של הנאשם</w:t>
      </w:r>
      <w:r>
        <w:rPr>
          <w:rtl w:val="true"/>
        </w:rPr>
        <w:t xml:space="preserve">, </w:t>
      </w:r>
      <w:r>
        <w:rPr>
          <w:rtl w:val="true"/>
        </w:rPr>
        <w:t>וכן הדגישו את עובדת תיקון כתב האישום באופן של המרת הוראת החיקוק שיוחסה לנאשם מלכתחילה</w:t>
      </w:r>
      <w:r>
        <w:rPr>
          <w:rtl w:val="true"/>
        </w:rPr>
        <w:t xml:space="preserve">, </w:t>
      </w:r>
      <w:r>
        <w:rPr>
          <w:rtl w:val="true"/>
        </w:rPr>
        <w:t>ותיקון נוסף בעובדות של כתב האישום המקורי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בפנותו אלינו הביע חרטה על מעשיו וביקש אף הוא לאמץ את המסגרת העונשית עליה סוכם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אין חולק כי המסכת העובדתית אשר פורטה על ידינו לעיל הינה חמורה ביותר</w:t>
      </w:r>
      <w:r>
        <w:rPr>
          <w:rtl w:val="true"/>
        </w:rPr>
        <w:t xml:space="preserve">, </w:t>
      </w:r>
      <w:r>
        <w:rPr>
          <w:rtl w:val="true"/>
        </w:rPr>
        <w:t>כמו גם מעשיו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הנחנו בפנינו את דברי ב</w:t>
      </w:r>
      <w:r>
        <w:rPr>
          <w:rtl w:val="true"/>
        </w:rPr>
        <w:t>"</w:t>
      </w:r>
      <w:r>
        <w:rPr>
          <w:rtl w:val="true"/>
        </w:rPr>
        <w:t>כ המאשימה באשר לסיבות אשר הביאו את המאשימה להגעה להסדר זה</w:t>
      </w:r>
      <w:r>
        <w:rPr>
          <w:rtl w:val="true"/>
        </w:rPr>
        <w:t xml:space="preserve">, </w:t>
      </w:r>
      <w:r>
        <w:rPr>
          <w:rtl w:val="true"/>
        </w:rPr>
        <w:t>תוך הדגשת הקשיים הראייתיים בתיק החקירה ושאר היבטים שפורטו על ידו בטיעוניו בפנינו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נראה לנו כי המסגרת העונשית אשר הוסכם עליה עומדת בתנאי הילכת פלוני וגישת האיזון בהלכה זו</w:t>
      </w:r>
      <w:r>
        <w:rPr>
          <w:rtl w:val="true"/>
        </w:rPr>
        <w:t xml:space="preserve">, </w:t>
      </w:r>
      <w:r>
        <w:rPr>
          <w:rtl w:val="true"/>
        </w:rPr>
        <w:t>ולפיכך מצאנו לנכון לאמצה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 אנו גוזרים על הנאשם את העונשים 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לבל יעבור כל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>או עבירות בנשק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לצורך מנין תקופת המאסר בפועל תימנה תקופת שהייתו במעצר מיום </w:t>
      </w:r>
      <w:r>
        <w:rPr/>
        <w:t>23.12.09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אנו מפנים את תשומת לב שירות בית הסוהר להמלצת קצינת המבחן למבוגרים להפנות את הנאשם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לבית סוהר שיקומי</w:t>
      </w:r>
      <w:r>
        <w:rPr>
          <w:rtl w:val="true"/>
        </w:rPr>
        <w:t xml:space="preserve">" </w:t>
      </w:r>
      <w:r>
        <w:rPr>
          <w:rtl w:val="true"/>
        </w:rPr>
        <w:t>בהתאם לאפשרויות הקיימות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מזכירות בית המשפט תצרף תסקיר קצינת המבחן למבוגרים לגזר הדין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אשר יופנה לשלטונות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שב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</w:t>
      </w:r>
      <w:r>
        <w:rPr>
          <w:u w:val="single"/>
          <w:rtl w:val="true"/>
        </w:rPr>
        <w:t>.</w:t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 xml:space="preserve">זכות ערעור תוך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>54678313</w:t>
      </w:r>
      <w:r>
        <w:rPr>
          <w:b/>
          <w:b/>
          <w:bCs/>
          <w:sz w:val="28"/>
          <w:sz w:val="28"/>
          <w:szCs w:val="28"/>
          <w:rtl w:val="true"/>
        </w:rPr>
        <w:t>ניתן והודע היום י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 סיון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24/05/2010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before="240" w:after="6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אלרון 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12"/>
          <w:sz w:val="12"/>
          <w:szCs w:val="12"/>
          <w:rtl w:val="true"/>
        </w:rPr>
        <w:t>לאה</w:t>
      </w:r>
      <w:r>
        <w:rPr>
          <w:sz w:val="12"/>
          <w:sz w:val="12"/>
          <w:szCs w:val="12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/Users/liorb/Downloads/study2025-p2/ME-10-01-11644-175.doc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11644-01-10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לירן בן יצחק אבוטבול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2010-05-25T00:31:00Z</dcterms:created>
  <dc:creator> </dc:creator>
  <dc:description/>
  <cp:keywords/>
  <dc:language>en-IL</dc:language>
  <cp:lastModifiedBy>comp</cp:lastModifiedBy>
  <dcterms:modified xsi:type="dcterms:W3CDTF">2010-05-25T09:03:00Z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לירן בן יצחק אבוטבול </vt:lpwstr>
  </property>
  <property fmtid="{D5CDD505-2E9C-101B-9397-08002B2CF9AE}" pid="4" name="CITY">
    <vt:lpwstr>חי'</vt:lpwstr>
  </property>
  <property fmtid="{D5CDD505-2E9C-101B-9397-08002B2CF9AE}" pid="5" name="DATE">
    <vt:lpwstr>20100524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י' אלרון ;מ' גלעד;מ' רניאל</vt:lpwstr>
  </property>
  <property fmtid="{D5CDD505-2E9C-101B-9397-08002B2CF9AE}" pid="9" name="LAWYER">
    <vt:lpwstr>אמיר אליאל;מירון רוזנטל;סאמר ביסאן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11644</vt:lpwstr>
  </property>
  <property fmtid="{D5CDD505-2E9C-101B-9397-08002B2CF9AE}" pid="23" name="NEWPARTB">
    <vt:lpwstr>01</vt:lpwstr>
  </property>
  <property fmtid="{D5CDD505-2E9C-101B-9397-08002B2CF9AE}" pid="24" name="NEWPARTC">
    <vt:lpwstr>10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mechozi me 10 01 11644 175 htm</vt:lpwstr>
  </property>
  <property fmtid="{D5CDD505-2E9C-101B-9397-08002B2CF9AE}" pid="34" name="TYPE">
    <vt:lpwstr>2</vt:lpwstr>
  </property>
  <property fmtid="{D5CDD505-2E9C-101B-9397-08002B2CF9AE}" pid="35" name="TYPE_ABS_DATE">
    <vt:lpwstr>390020100524</vt:lpwstr>
  </property>
  <property fmtid="{D5CDD505-2E9C-101B-9397-08002B2CF9AE}" pid="36" name="TYPE_N_DATE">
    <vt:lpwstr>39020100524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