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3"/>
        <w:gridCol w:w="365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13491-09-20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Cs w:val="28"/>
              </w:rPr>
              <w:t>THAWEESIT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Cs w:val="28"/>
              </w:rPr>
              <w:t>9138858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שלו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משניות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מונטיליו סגל מפמ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ANANTAPHAK THAWEESIT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 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נועם בונדר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Nitan"/>
      <w:bookmarkEnd w:id="3"/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</w:p>
    <w:p>
      <w:pPr>
        <w:pStyle w:val="Normal"/>
        <w:spacing w:lineRule="exact" w:line="240" w:before="16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auto" w:line="360" w:before="160" w:after="0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auto" w:line="360" w:before="160" w:after="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 w:before="160" w:after="0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auto" w:line="360" w:before="160" w:after="0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spacing w:lineRule="auto" w:line="360" w:before="160" w:after="0"/>
        <w:ind w:end="0"/>
        <w:jc w:val="start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 w:before="160" w:after="0"/>
        <w:ind w:end="0"/>
        <w:jc w:val="start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 w:before="160" w:after="0"/>
        <w:ind w:end="0"/>
        <w:jc w:val="start"/>
        <w:rPr>
          <w:rFonts w:ascii="David" w:hAnsi="David" w:cs="David"/>
          <w:sz w:val="32"/>
          <w:szCs w:val="32"/>
          <w:u w:val="single"/>
        </w:rPr>
      </w:pPr>
      <w:bookmarkStart w:id="11" w:name="ABSTRACT_START"/>
      <w:bookmarkEnd w:id="11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השופט אהרון משניות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כללי  הנאשם הורשע במסגרת הסדר טיעון בכתב אישום מתוקן בעבירת 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לפי </w:t>
      </w:r>
      <w:hyperlink r:id="rId12"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300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התשל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ז   </w:t>
      </w:r>
      <w:r>
        <w:rPr>
          <w:rFonts w:cs="David" w:ascii="David" w:hAnsi="David"/>
          <w:b/>
          <w:bCs/>
          <w:sz w:val="32"/>
          <w:szCs w:val="32"/>
        </w:rPr>
        <w:t>1977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במסגרת ההסדר לא הושגו הסכמות בין הצדדים לעניין העונש והוסכם כי כל צד יהיה חופשי בטיעוניו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כמפורט בכתב האישום המתוקן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bookmarkStart w:id="12" w:name="ABSTRACT_END"/>
      <w:bookmarkEnd w:id="12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הנאשם ומר פרונצאי פראסיאין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להלן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הינם אזרחים תאילנדים שמועסקים בחקלאות בישראל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והם התגוררו יחד ועבדו יחד במשק </w:t>
      </w:r>
      <w:r>
        <w:rPr>
          <w:rFonts w:cs="David" w:ascii="David" w:hAnsi="David"/>
          <w:b/>
          <w:bCs/>
          <w:sz w:val="32"/>
          <w:szCs w:val="32"/>
        </w:rPr>
        <w:t>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במושב עין יהב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בתאריך </w:t>
      </w:r>
      <w:r>
        <w:rPr>
          <w:rFonts w:cs="David" w:ascii="David" w:hAnsi="David"/>
          <w:b/>
          <w:bCs/>
          <w:sz w:val="32"/>
          <w:szCs w:val="32"/>
        </w:rPr>
        <w:t>11.8.20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בסמוך לשעה </w:t>
      </w:r>
      <w:r>
        <w:rPr>
          <w:rFonts w:cs="David" w:ascii="David" w:hAnsi="David"/>
          <w:b/>
          <w:bCs/>
          <w:sz w:val="32"/>
          <w:szCs w:val="32"/>
        </w:rPr>
        <w:t>12:00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ישבו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המנוח ואחרים ושתו וויסקי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וכעבור כמה שעות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בשעות הערב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סמוך לשעות </w:t>
      </w:r>
      <w:r>
        <w:rPr>
          <w:rFonts w:cs="David" w:ascii="David" w:hAnsi="David"/>
          <w:b/>
          <w:bCs/>
          <w:sz w:val="32"/>
          <w:szCs w:val="32"/>
        </w:rPr>
        <w:t>20:00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  </w:t>
      </w:r>
      <w:r>
        <w:rPr>
          <w:rFonts w:cs="David" w:ascii="David" w:hAnsi="David"/>
          <w:b/>
          <w:bCs/>
          <w:sz w:val="32"/>
          <w:szCs w:val="32"/>
        </w:rPr>
        <w:t>21:00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החל וויכוח וריב בין הנאשם ובין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ובמהלך המריבה בין השניים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הם השליכו זה על זה בקבוקים וכסאות פלסטיק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ואף דחפו זה את זה בחזה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עד שאחד הנוכחים במקום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מכר משותף של השניים בשם אמנאט הפריד בין הניצים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והנאשם עזב לחדרו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כעבור זמן מה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ליווה אמנאט את המנוח לחדרו אשר היה אל מול חדרו של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תוך שהוא מבקש מהמנוח לבקש את סליחתו של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ושהוא והנאשם ישלימו ביניהם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ובשלב זה עמדו אמנאט והמנוח במסדרון הצר שבין שני החדרים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לאחר מכן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פתח את דלת חדרו כשבכוונתו ללכת לשירותים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והמנוח אמר לו</w:t>
      </w:r>
      <w:r>
        <w:rPr>
          <w:rFonts w:cs="David" w:ascii="David" w:hAnsi="David"/>
          <w:b/>
          <w:bCs/>
          <w:sz w:val="32"/>
          <w:szCs w:val="32"/>
          <w:rtl w:val="true"/>
        </w:rPr>
        <w:t>: 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אם אתה רוצה לעשות סולחה על הרגליים שלי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או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תשתחווה לרגליי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או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אתה מוכן להפסיד לי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או משהו דומה לכך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וכן אמר לו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בוא נראה אותך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אמנאט חצץ בין השניים כשפניו מול המנוח וגבו מופנה אל הנאשם והוא אוחז במנוח במטרה להרגיעו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לאחר מכן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הלך לשירותים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חזר לחדרו וסגר את הדלת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המנוח המשיך לצעוק במסדרון כשאמנאט מנסה להרגיעו ופניו לכיוון המנוח וגבו מופנה לדלת חדרו של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נטל מארון בחדרו סכין עם להב באורך של כ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10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ס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 וברוחב של כ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- </w:t>
      </w:r>
      <w:r>
        <w:rPr>
          <w:rFonts w:cs="David" w:ascii="David" w:hAnsi="David"/>
          <w:b/>
          <w:bCs/>
          <w:sz w:val="32"/>
          <w:szCs w:val="32"/>
        </w:rPr>
        <w:t>1.5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ס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פתח את דלת חדרו ודקר את  המנוח דקירה אחת בצד שמאל של בית החזה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כשהוא שווה נפש לאפשרות גרימת תוצאה קטלנית בשל כך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הוציא את הסכין מגופו של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נכנס מיד לחדרו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והטמין את הסכין עמה ביצע את הדקירה בתוך קפלי שק אורז שהיה בחדרו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המנוח נכנס גם הוא לחדרו ושם התמוטט כשפלג גופו העליון על מיטתו והוא מתבוסס בדמו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אמנאט אשר לא היה מודע לכך שהמנוח נדקר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היה בדרכו לחדרו כששמע רעשים מהם הבין שמשהו קורה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הוא רץ לעבר חדרו של המנוח והבחין בו מדמם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;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הוא החל לבצע בו פעולות החייאה תוך שהוא צועק לעזרה ומבקש מהעובדים האחרים להזמין אמבולנס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בסופו של דבר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המנוח מת כתוצאה מהלם תת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נפחי בשל דימום מסיבי ונזק שנגרם לשריר הלב כתוצאה מפצע הדקירה בחזה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במסגרת הסדר הטיעון שנזכר לעיל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הודה במיוחס לו בכתב האישום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כי במעשים שביצע הוא גרם באדישות למותו של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טיעוני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  בתחילת טיעוניה הגישה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 מסמך בשפה התאית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עם תרגום לעברית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מיום </w:t>
      </w:r>
      <w:r>
        <w:rPr>
          <w:rFonts w:cs="David" w:ascii="David" w:hAnsi="David"/>
          <w:b/>
          <w:bCs/>
          <w:sz w:val="32"/>
          <w:szCs w:val="32"/>
        </w:rPr>
        <w:t>23.11.21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לדבריה וכעולה ממסמך שהוגש לנו מהשגרירות התאילנדית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מדובר במכתב שנכתב ע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 אלמנתו של המנוח ושהועבר באמצעות השגרירות לפרקליטות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במכתב כותבת האלמנה שהיא בת </w:t>
      </w:r>
      <w:r>
        <w:rPr>
          <w:rFonts w:cs="David" w:ascii="David" w:hAnsi="David"/>
          <w:b/>
          <w:bCs/>
          <w:sz w:val="32"/>
          <w:szCs w:val="32"/>
        </w:rPr>
        <w:t>28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ויש לה בת אחת בת </w:t>
      </w:r>
      <w:r>
        <w:rPr>
          <w:rFonts w:cs="David" w:ascii="David" w:hAnsi="David"/>
          <w:b/>
          <w:bCs/>
          <w:sz w:val="32"/>
          <w:szCs w:val="32"/>
        </w:rPr>
        <w:t>4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שהמנוח השאיר אחריו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ומתארת כיצד השפיע מותו של המנוח לרעה על כל המשפחה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וכי מאז הרצח נותרה המשפחה בחוסר פרנסה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עם חובות והוצאות כספיות גבוהות שאיתם היא נאלצת להתמודד לבדה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בתו של המנוח בגן חובה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היא במצב נפשי לא טוב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מרגישה בחסרונו של האב ושואלת עליו כל הזמן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מותו של המנוח הביא להפסקת התמיכה הכספית שלו בהוריו המבוגרים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שנזקקים לטיפולים רפואיים מעת לעת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ועכשיו בעקבות מותו של המנוח הם צריכים לעבוד לפרנסתם למרות גילם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אביו של המנוח אינו יכול להשלים עם מותו של הבן האהוב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נמצא במצוקה נפשית ומוצא מפלט מצרותיו בשתייה כל יום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בסיום מכתבה מבקשת האלמנה כי ייעשה צדק למנוח ולמשפחתו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כי ימוצה הדין עם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וכי תימצא דרך לסייע גם למשפחתו של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 הגישה טיעוניה בכתב וציינה כי במעשיו פגע הנאשם בערכים המוגנים של שלמות הגוף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כבוד האדם ושלוות הנפש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וכן פגע בערכי יסוד בסיסיים ביותר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ובראשם הערך של קדושת החיים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היא ציינה עוד כי דברים על מעמדו המיוחד של הערך של קדושת החיים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ועל החובה של בתי המשפט לתת לחומרה היתירה של הפגיעה בערך נעלה זה ביטוי בענישה הולמת של מי שפוגע בערכים בסיסיים אלו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חזרו ונשנו בפסיקת בית המשפט העליון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בהמשך טיעוניה התייחסה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 בהרחבה להשפעת הרפורמה בעבירות המתה על רמת הענישה בעבירות אלה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תוך שהיא מציינת כי אין כמעט פסיקה על ענישה בעבירה של רצח ביסוד נפשי של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ולכן מוטלת אחריות על כתפי בית המשפט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שפסיקתו עשויה להתוות את הדרך בנושא חדש 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לדבריה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הכללת מעשה המתה ביסוד נפשי של אדישות בגדר עבירת הרצח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מהווה את אחד החידושים החשובים ברפורמה האמורה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מפני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שמאחוריה תפיסה נורמטיבית סדורה וברורה באשר לחומרה שביסוד נפשי זה וקרבתו הגדולה ליחס החפצי של הכוונה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כלשונה בסעיף </w:t>
      </w:r>
      <w:r>
        <w:rPr>
          <w:rFonts w:cs="David" w:ascii="David" w:hAnsi="David"/>
          <w:b/>
          <w:bCs/>
          <w:sz w:val="32"/>
          <w:szCs w:val="32"/>
        </w:rPr>
        <w:t>8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לטיעוניה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 הדגישה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כי בעבירת הרצח בנסיבות מחמירות קיימת חובה להשית עונש מאסר עולם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בשונה מעבירת הרצח הבסיסית במסגרתה ניתן להשית עונש מאסר עולם כעונש מרבי ולא כעונש חובה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לטענתה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משמעות הדברים היא שניתן להשית גם בעבירה של רצח בסיסי הכוללת מקרים דומים לזה של הנאשם שלפנינו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עונש של מאסר עולם או מאסר קצוב לתקופה שלא תעלה על </w:t>
      </w:r>
      <w:r>
        <w:rPr>
          <w:rFonts w:cs="David" w:ascii="David" w:hAnsi="David"/>
          <w:b/>
          <w:bCs/>
          <w:sz w:val="32"/>
          <w:szCs w:val="32"/>
        </w:rPr>
        <w:t>30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וכי המחוקק הכליל את יסוד האדישות תחת אותה אכסניה של יסוד הכוונה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כדי ללמד כי מידת האשם של הרוצח באדישות דומה למידת האשם של רוצח בכוונה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ויש בכך אמירה נורמטיבית שמשקפת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את התפיסה העדכנית של החברה בישראל באשר לקדושת ערך חיי האדם ואת הקרבה המוסרית שבין הכוונה והאדישות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מכאן עתירתה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לזכור שינוי זה בחוק ולצקת לו תוכן באמצעות רמת ענישה מתאימה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גבוהה משמעותית מזו אשר הייתה נהוגה טרם התיקון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לנסיבות ביצוע העבירה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ציינה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 כי מדובר באדישות ברף הגבוה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בנסיבות שקרובות לנסיבות של רצח בכוונה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בשל העובדה שהנאשם הצטייד בסכין בטרם יצא מחדרו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ובשל מיקום הדקירה בחזה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 טענה עוד כי על חומרת האדישות ניתן ללמוד גם מהתנהגותו של הנאשם לאחר הדקירה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שכן הוא חזר לחדרו והסתיר את הסכין בין קפלי שק אורז בחדרו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ולא טרח להושיט עזרה כלשהי למנוח או להזעיק עזרה רפואית עבורו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ולכן מדובר בחוסר אכפתיות מוחלט לתוצאה הקטלנית של מעשיו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 ציינה עוד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כי לא מדובר בנסיבות של קנטור ואף לא בנסיבות קרובות לכך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מפני שהנאשם הלך לחדרו לאחר חילופי הצעקות והדחיפות עם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ובכך יכול היה לסיים את האירוע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ובכל זאת הוא בחר לצאת מחדרו כשסכין בידו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שבה דקר את המנוח וגרם למותו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ובכך המיט חורבן גם על משפחתו של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כפי שהדברים פורטו במכתבה של אלמנת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שהוגש בפתח טיעוני המאשימה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 המאשימה הפנתה לגזר דין שניתן בבית משפט זה בעניין קפוסטין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</w:rPr>
          <w:t>51134-02-17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פורסם בנבו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21.1.2021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בו נגזרו על הנאשם שהורשע לאחר שמיעת ראיות בעבירה של רצח באדישות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18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 בפועל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וציינה כי המדינה ערערה על קולת העונש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וטרם ניתן פסק דין בערעור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בסופו של דבר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עתרה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 המאשימה למתחם ענישה הנע בין </w:t>
      </w:r>
      <w:r>
        <w:rPr>
          <w:rFonts w:cs="David" w:ascii="David" w:hAnsi="David"/>
          <w:b/>
          <w:bCs/>
          <w:sz w:val="32"/>
          <w:szCs w:val="32"/>
        </w:rPr>
        <w:t>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27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 וטענה כי יש למקם את עונשו של הנאשם באמצע המתחם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בתוספת מאסר מותנה ופיצוי למשפחת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טיעוני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הנאשם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הנאשם טען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כי אין בסיס לטענת המאשימה כי אחת המטרות של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היא החמרה בעבירה של המתה באדישות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שנובעת מכך שלפי הדין החדש שלאחר התיקון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מדובר בעבירה של 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בשונה מהדין הישן שבו עבירה זו של המתה באדישות הוגדרה כעבירה של הריגה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לדבריו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הרפורמה בעבירות המתה יצרה למעשה קבוצה חדשה של עבירות המתה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בה תחת הכותרת של עבירת הרצח הבסיסית כלולות גם העבירה של המתה באדישות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שכאמור הוגדרה בעבר כעבירת הריגה שהעונש המרבי עליה היה </w:t>
      </w:r>
      <w:r>
        <w:rPr>
          <w:rFonts w:cs="David" w:ascii="David" w:hAnsi="David"/>
          <w:b/>
          <w:bCs/>
          <w:sz w:val="32"/>
          <w:szCs w:val="32"/>
        </w:rPr>
        <w:t>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וגם עבירה של 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בלי נסיבות מחמירות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שבה לפי הדין הישן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העונש הוא מאסר עולם חובה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ואין כל אזכור לכוונתו של המחוקק להעלות את רף הענישה בגין עבירות ההמתה שבוצעו באדישות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לעומת רף הענישה שהיה קיים לפי הדין הישן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לכן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למרות שהעונש המרבי על כל העבירות בקבוצה זו הוא מאסר עולם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עדיין יש להבחין בין העבירות השונות בקבוצה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ולדבריו מקובל על כולם שהעונש על רצח באדישות צריך להיות פחות חמור מהעונש על רצח בכוונה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בהמשך טיעוניו הפנה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 הנאשם לגזר דין שניתן בבית משפט זה בעניין שלו מורי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hyperlink r:id="rId15"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</w:rPr>
          <w:t>49705-06-20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פורסם בנבו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27.12.2021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אשר בו נגזר על הנאשם שהורשע בעבירה של רצח באדישות עונש של </w:t>
      </w:r>
      <w:r>
        <w:rPr>
          <w:rFonts w:cs="David" w:ascii="David" w:hAnsi="David"/>
          <w:b/>
          <w:bCs/>
          <w:sz w:val="32"/>
          <w:szCs w:val="32"/>
        </w:rPr>
        <w:t>12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ביחד עם עונשים נלווים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וטען כי עניינו של הנאשם דהתם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שהורשע גם בעבירה נוספת של נשיאת נשק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חמור יותר מעניינו של הנאשם דהכא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שהורשע רק בעבירה אחת של 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זאת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מפני שבנוסף לעבירה הנוספת שבה הורשע מורי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הרצח שם בוצע לאחר שהנאשם חבר לכמה אנשים נוספים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ולפי התכנון המקורי היה אמור לדקור את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בגלל סכסוך עם אחד מהם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כמו כן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שם היה בעל עבר פלילי שכולל מאסר מותנה בר הפעלה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בשונה מהנאשם דנא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שאין לו רישום פלילי בישראל 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כמו כן הפנה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הנאשם לגזר דין נוסף שניתן לאחרונה בעבירה של רצח באדישות בעניין חוג</w:t>
      </w:r>
      <w:r>
        <w:rPr>
          <w:rFonts w:cs="David" w:ascii="David" w:hAnsi="David"/>
          <w:b/>
          <w:bCs/>
          <w:sz w:val="32"/>
          <w:szCs w:val="32"/>
          <w:rtl w:val="true"/>
        </w:rPr>
        <w:t>'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יראת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תפ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ח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חיפה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 </w:t>
      </w:r>
      <w:r>
        <w:rPr>
          <w:rFonts w:cs="David" w:ascii="David" w:hAnsi="David"/>
          <w:b/>
          <w:bCs/>
          <w:sz w:val="32"/>
          <w:szCs w:val="32"/>
        </w:rPr>
        <w:t>2690-09-19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פורסם בנבו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7.2.2022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שבו נדון עניינו של נאשם שהורשע בעבירה של רצח באדישות ובעבירות נוספות של חבלה בכוונה מחמירה ועבירות בנשק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המדינה עתרה שם למתחם ענישה שנע בין </w:t>
      </w:r>
      <w:r>
        <w:rPr>
          <w:rFonts w:cs="David" w:ascii="David" w:hAnsi="David"/>
          <w:b/>
          <w:bCs/>
          <w:sz w:val="32"/>
          <w:szCs w:val="32"/>
        </w:rPr>
        <w:t>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26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הנאשם טען כי הנסיבות שם חמורות בהרבה מהנסיבות שלפנינו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מפני ששם היה מדובר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בירי מכוון אחרי שיקול דעת מלא שבוצע ע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 הנאשם שהצטייד מבעוד מועד בנשק אוטומטי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בשונה מהמקרה דנן שבו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מדובר באירוע ספונטני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שקרה בביתו של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כשלמנוח תרומה להסלמת האירוע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ומכאן תמיהתו על עתירת המאשימה בעניינינו למתחם ענישה גבוה יותר שנע בין  </w:t>
      </w:r>
      <w:r>
        <w:rPr>
          <w:rFonts w:cs="David" w:ascii="David" w:hAnsi="David"/>
          <w:b/>
          <w:bCs/>
          <w:sz w:val="32"/>
          <w:szCs w:val="32"/>
        </w:rPr>
        <w:t>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27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בסוף טיעוניו טען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הנאשם כי מדובר בנאשם שהודה בהזדמנות הראשונה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וכי אלמלא הודאתו של הנאשם ספק אם היה ניתן להרשיעו בעבירה זו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והוסיף כי מדובר באדם שאינו דובר השפה העברית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ויצטרך לרצות את מאסרו בין דוברי השפה העברית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עובדה שיש בה קושי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ולעניין זה הפנה לפסיקה שבה בית המשפט העליון הקל בענישה אך משום שמדובר באנשים שתנאי הכליאה קשים עבורם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מכאן עתירתו למתחם שנע בין </w:t>
      </w:r>
      <w:r>
        <w:rPr>
          <w:rFonts w:cs="David" w:ascii="David" w:hAnsi="David"/>
          <w:b/>
          <w:bCs/>
          <w:sz w:val="32"/>
          <w:szCs w:val="32"/>
        </w:rPr>
        <w:t>10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16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שנסמכת בין היתר על גזרי דין שניתנו לטענתו בנסיבות דומות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בעבירות הריגה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על פי הדין הישן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דיון והכרעה הנאשם הורשע בעבירה של רצח לפי סעיף </w:t>
      </w:r>
      <w:hyperlink r:id="rId16"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300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העונשין ביסוד נפשי של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בפתח הדברים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ראוי לציין את המובן מאליו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כי לא יכולה להיות מחלוקת בדבר החומרה הרבה שיש בעבירות אלימות בכלל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ובעבירות הרצח בפרט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גם אם מדובר ביסוד נפשי של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ויפים לעניין זה דברי ההסבר שנאמרו בהצעת החוק של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היסוד הנפשי של אדישות הולם את עבירת הרצח בנוסחה המוצע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משום שהוא מגלם עמדה שלילית מובהקת ויסוד נפשי מגונה כלפי הערך של חיי אדם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היסוד הנפשי של אדישות מוגדר </w:t>
      </w:r>
      <w:hyperlink r:id="rId17"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20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2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העונשין כשוויון נפש לאפשרות גרימת תוצאות המעשה הנמנות עם פרטי העבירה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העושה האדיש אינו חפץ בהשגת התוצאה הקטלנית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אך דווקא על רקע זה ולאור חשיבות הערך של חיי אדם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ניתן לצפות מהעושה להעדיף בבירור להימנע ממעשה שהוא צופה שיביא להתרחשות תוצאה זו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ואולם לאדיש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בניגוד לקל הדעת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אין העדפה לעניין אפשרות גרימת התוצאה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אחת היא לו אם יקופחו חיי אדם אם לאו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על כן יסוד נפשי זה מבטא זלזול מובהק והתנכרות קשה וחמורה לערך של חיי אדם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שבעטיים מעשה ההמתה הוא מעשה חמור מובהק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ההדגשות אינן במקור   א</w:t>
      </w:r>
      <w:r>
        <w:rPr>
          <w:rFonts w:cs="David" w:ascii="David" w:hAnsi="David"/>
          <w:b/>
          <w:bCs/>
          <w:sz w:val="32"/>
          <w:szCs w:val="32"/>
          <w:rtl w:val="true"/>
        </w:rPr>
        <w:t>.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.).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שנים אחדות לפני הרפורמה בעבירות המתה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</w:rPr>
          <w:t>8134/10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פלוני נ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'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פורסם בנבו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25.11.2012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פס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' </w:t>
      </w:r>
      <w:r>
        <w:rPr>
          <w:rFonts w:cs="David" w:ascii="David" w:hAnsi="David"/>
          <w:b/>
          <w:bCs/>
          <w:sz w:val="32"/>
          <w:szCs w:val="32"/>
        </w:rPr>
        <w:t>13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עמד בית המשפט העליון על תרומתה של האדישות להתפשטות האלימות בחברה הישראלית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וכך נוסחו הדברים מפי השופט ניל הנדל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לדאבוננו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בעשורים האחרונים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מוצא עצמו הציבור מול הסלמה מתמשכת במקרי האלימות הפוגעים בחברה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אחד ממלבי הבעירה של הסלמה זו הינו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המהווה קרקע פורה להסלמה שכזו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אדישות   אפתיה   הוגדרה ביוון העתיקה כחוסר עניין בסוגיות בהן אין האדם יכול לשלוט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לשון אחר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זוהי תחושת חוסר האונים של הפרט הסבור שאין הוא מחזיק ביכולות להתמודד עם האתגר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על קרקע אדישה זו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צומחים עשבי האלימות השוטים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מערכת אכיפת החוק אינה יכולה לעמוד מנגד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עליה לעקור את עשבי האלימות מן השורש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אין היא יכולה לתת ידה לאדישות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שסופה באלימות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ההדגשה אינה במקור   א</w:t>
      </w:r>
      <w:r>
        <w:rPr>
          <w:rFonts w:cs="David" w:ascii="David" w:hAnsi="David"/>
          <w:b/>
          <w:bCs/>
          <w:sz w:val="32"/>
          <w:szCs w:val="32"/>
          <w:rtl w:val="true"/>
        </w:rPr>
        <w:t>.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.).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הדברים הללו שנאמרו לפני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ביחס למערער שנגזרו עליו </w:t>
      </w:r>
      <w:r>
        <w:rPr>
          <w:rFonts w:cs="David" w:ascii="David" w:hAnsi="David"/>
          <w:b/>
          <w:bCs/>
          <w:sz w:val="32"/>
          <w:szCs w:val="32"/>
        </w:rPr>
        <w:t>12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 לאחר שהורשע בעבירה של הריגה כמבצע בצוותא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וערעורו על חומרת העונש נדחה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יפים מקל וחומר לאחר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כאמור העלה את מדרג החומרה של הממית באדישות בכך שכלל אותו בגדרה של עבירת הרצח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קביעת מתחם העונש ההולם על פי </w:t>
      </w:r>
      <w:hyperlink r:id="rId19"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40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ג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העונשין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לצורך קביעת מתחם העונש ההולם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יש להתחשב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בערך החברתי שנפגע מביצוע העבירה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במידת הפגיעה 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David" w:ascii="David" w:hAnsi="David"/>
          <w:b/>
          <w:bCs/>
          <w:sz w:val="32"/>
          <w:szCs w:val="32"/>
        </w:rPr>
        <w:t>40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ט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כאמור לעיל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הנאשם הורשע על פי הודאתו בעבירה של רצח לפי </w:t>
      </w:r>
      <w:hyperlink r:id="rId20"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300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העונשין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ביסוד נפשי של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ובכך פגע הנאשם בערכים המוגנים של שלמות הגוף וכבוד האדם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וכן בערך העליון של קדושת החיים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אשר עליו נאמר כי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קדושת חיי האדם עומדת בראש סולם הערכים החברתיים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וחובתנו לשקף את חשיבותו של ערך זה במידת העונש שתיגזר על העבריין</w:t>
      </w:r>
      <w:r>
        <w:rPr>
          <w:rFonts w:cs="David" w:ascii="David" w:hAnsi="David"/>
          <w:b/>
          <w:bCs/>
          <w:sz w:val="32"/>
          <w:szCs w:val="32"/>
          <w:rtl w:val="true"/>
        </w:rPr>
        <w:t>" (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</w:rPr>
          <w:t>3617/13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טייטל נ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'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פורסם בנבו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28.6.2016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על חומרת מעשיו של הנאשם ניתן ללמוד גם מקיומן של חלק מהנסיבות שקשורות בביצוע העבירה שמפורטות </w:t>
      </w:r>
      <w:hyperlink r:id="rId22"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40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ט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העונשין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אומנם מעשיו של הנאשם לא נעשו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לאחר תכנון או לאחר הליך ממשי של שקילה וגיבוש החלטה להמית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אך כמפורט בכתב האישום המתוקן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חזר לחדרו במהלך הריב המילולי שהתפתח בינו ובין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ובעוד המנוח ממשיך לצעוק במסדרון כשאחר מנסה להרגיעו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ניגש הנאשם לארון שבחדרו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נטל משם סכין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פתח את דלת החדר ודקר את המנוח דקירה קטלנית אחת בצד שמאל של בית החזה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התנהגותו של הנאשם לאחר הדקירה מעצימה את חומרת מעשיו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שכן הוא חזר לחדרו והסתיר את הסכין בין קפלי שק אורז בחדרו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ולא טרח להושיט עזרה כלשהי למנוח או להזעיק עזרה רפואית עבורו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ובכך הפגין אדישות בולטת וחוסר אכפתיות מוחלט לתוצאה הקטלנית של מעשיו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הוא המבצע היחיד של מעשה העבירה ואחראי באופן מלא ובלעדי למעשיו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;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הנזק שנגרם ממעשיו הוא איום ונורא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מפני שהנאשם גדע את פתיל חייו של אדם צעיר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נשוי לאישה צעירה שלא תוכל עוד להתרפק על כתפי בעלה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אב לילדה קטנה שלא תזכה עוד להכיר את אביה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ובן להורים מבוגרים אשר בנם האהוב שתמך בהם נרצח באחת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והם לא יוכלו עוד להסתייע בעזרה שבנם היה נוהג להושיט להם בזקנתם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;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וכל זאת בשל ריב של מה בכך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זאת ועוד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ניתן להניח שהנאשם היה מודע לתוצאה החמורה שעלולה לקרות בשל דקירה בבית החזה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ולנזק הנורא והבלתי הפיך שנגרם כתוצאה מכך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יכול היה להבין את משמעות מעשיו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ויכול היה בנקל להימנע מהמעשה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שהרי היה מי שהפריד בין הניצים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והנאשם נכנס כבר לחדרו ויכול היה להישאר 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ומשום מה החליט לצאת לעבר המנוח כשסכין בידו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מדיניות הענישה הנוהגת הנאשם הורשע כאמור בעבירה של רצח באדישות על פי הדין החדש שלאחר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שנכנס לתוקפו בחודש יוני </w:t>
      </w:r>
      <w:r>
        <w:rPr>
          <w:rFonts w:cs="David" w:ascii="David" w:hAnsi="David"/>
          <w:b/>
          <w:bCs/>
          <w:sz w:val="32"/>
          <w:szCs w:val="32"/>
        </w:rPr>
        <w:t>2019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ולכן הפסיקה הקיימת ביחס לענישה בעבירה של רצח באדישות היא מועטה ביותר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מותב זה גזר לאחרונה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ביום </w:t>
      </w:r>
      <w:r>
        <w:rPr>
          <w:rFonts w:cs="David" w:ascii="David" w:hAnsi="David"/>
          <w:b/>
          <w:bCs/>
          <w:sz w:val="32"/>
          <w:szCs w:val="32"/>
        </w:rPr>
        <w:t>12.4.22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את דינו של נאשם אחר שהורשע בעבירה של רצח בכוונה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אף היא על פי הדין החדש שלאחר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(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32"/>
            <w:sz w:val="32"/>
            <w:szCs w:val="32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b/>
            <w:bCs/>
            <w:color w:val="0000FF"/>
            <w:sz w:val="32"/>
            <w:szCs w:val="32"/>
            <w:u w:val="single"/>
          </w:rPr>
          <w:t>70897-07-18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מדינת ישראל נ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'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</w:t>
      </w:r>
      <w:r>
        <w:rPr>
          <w:rFonts w:cs="David" w:ascii="David" w:hAnsi="David"/>
          <w:b/>
          <w:bCs/>
          <w:sz w:val="32"/>
          <w:szCs w:val="32"/>
          <w:rtl w:val="true"/>
        </w:rPr>
        <w:t>'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אבר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אלא שביחס לעבירה זו ניתן זמן קצר קודם לכן פסק דין בבית המשפט העליון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שהכריע בסוגיות שונות שעמדו על הפרק ביחס לענישה הראויה בעבירה זו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ובכך התווה את הדרך לערכאות הדיוניות שדנות בעבירות מסוג 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אולם ביחס לעבירה של רצח באדישות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ככל הידוע לנו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אין עדיין פסיקה של בית המשפט העליון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ולכן אין מנוס מלבחון את מדיניות הענישה הנוהגת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בהתאם לגזרי הדין הבודדים שניתנו עד כה בבתי המשפט המחוזיים בעניין 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שניים מהם ניתנו ע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 מותב אחר בבית משפט 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יצוין עוד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כי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הנאשם הפנה בסוף טיעוניו בעל פה לשורה של פסקי דין שניתנו בבית המשפט העליון ביחס לענישה בעבירה של הריגה לפי הדין הישן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אולם אין הנדון דומה לראיה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שכן בסופו של דבר לא הרי הרשעה בעבירה של 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שהעונש המרבי בצידה הוא מאסר עולם או </w:t>
      </w:r>
      <w:r>
        <w:rPr>
          <w:rFonts w:cs="David" w:ascii="David" w:hAnsi="David"/>
          <w:b/>
          <w:bCs/>
          <w:sz w:val="32"/>
          <w:szCs w:val="32"/>
        </w:rPr>
        <w:t>30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כהרי הרשעה בעבירה של הריגה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שהעונש המרבי בצידה הוא </w:t>
      </w:r>
      <w:r>
        <w:rPr>
          <w:rFonts w:cs="David" w:ascii="David" w:hAnsi="David"/>
          <w:b/>
          <w:bCs/>
          <w:sz w:val="32"/>
          <w:szCs w:val="32"/>
        </w:rPr>
        <w:t>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לא למותר להפנות שוב לדברי ההסבר להצעת החוק של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בהם נאמר בין היתר כי בשל החומרה המיוחדת בעבירות המתה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יש הצדקה בעבירות אלה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להבחנה בין היסוד הנפשי של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-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המבטא כאמור זלזול מובהק בערך של חיי אדם    לבין היסוד הנפשי של קלות דעת שמבטא חומרה פחותה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וכן לכריכה של האדישות והכוונה יחד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תוך הבחנה בינן לבין קלות דעת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."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לטעמנו ברור כי הכללת מעשה המתה באדישות בגדרה של עבירת הרצח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שמעבר לכותרתה גם העונש בגינה גבוה יותר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נועדה לבטא גם החמרה בענישה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ולכן לא ראינו מקום להתייחס לפסקי הדין של ענישה בעבירה של הריגה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בבואנו לדון במדיניות הענישה הנוהגת בעבירה חדשה זו של רצח באדישות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בתפ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ח </w:t>
      </w:r>
      <w:r>
        <w:rPr>
          <w:rFonts w:cs="David" w:ascii="David" w:hAnsi="David"/>
          <w:b/>
          <w:bCs/>
          <w:sz w:val="32"/>
          <w:szCs w:val="32"/>
        </w:rPr>
        <w:t>51134-02-17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מדינת ישראל נ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'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קפוסטין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פורסם בנבו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21.1.2021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שהוזכר ע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דובר בנאשם שהורשע לאחר הוכחות בעבירה של רצח באדישות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בית המשפט קבע מתחם ענישה שבין </w:t>
      </w:r>
      <w:r>
        <w:rPr>
          <w:rFonts w:cs="David" w:ascii="David" w:hAnsi="David"/>
          <w:b/>
          <w:bCs/>
          <w:sz w:val="32"/>
          <w:szCs w:val="32"/>
        </w:rPr>
        <w:t>15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וגזר על הנאשם </w:t>
      </w:r>
      <w:r>
        <w:rPr>
          <w:rFonts w:cs="David" w:ascii="David" w:hAnsi="David"/>
          <w:b/>
          <w:bCs/>
          <w:sz w:val="32"/>
          <w:szCs w:val="32"/>
        </w:rPr>
        <w:t>18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באמצע המתחם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אולם נראה כי הנסיבות שם חמורות יותר מהנסיבות שלפנינו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מפני שהנאשם שם היכה למוות את אמו הקשישה שהייתה בת </w:t>
      </w:r>
      <w:r>
        <w:rPr>
          <w:rFonts w:cs="David" w:ascii="David" w:hAnsi="David"/>
          <w:b/>
          <w:bCs/>
          <w:sz w:val="32"/>
          <w:szCs w:val="32"/>
        </w:rPr>
        <w:t>66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וגרם לה לחבלות רבות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בהן שבר בעצם החזה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מספר שברים במספר צלעות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שבר בחוליות הגב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הפרדת הקרקפת מהראש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דימומים פנימיים ועמוקים בכל חלקי גופה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כשהוא משתמש לצורך הכאתה בין השאר גם בחפץ או בחפצים שונים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בסופו של דבר המנוחה מתה מחנק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בשל אי ספיקה נשימתית בעקבות שברים מרובים בצלעות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זאת ועוד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שם לא לקח אחריות על מעשיו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והורשע לאחר משפט הוכחות ממושך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ובנוסף לכך היו לנאשם הרשעות קודמות בעבירות איומים ואלימות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עם זאת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בית המשפט קבע שם כי הנאשם היה קרוב לסייג של שכרות חלקית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ושקל לזכותו גם את העובדה שלאחר מעשי האלימות הנאשם ניסה להציל את המנוחה ואף הזעיק את המשטרה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שהגיעה לזירה כשהמנוחה עוד הייתה בחיים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ועדיין נראה כי בבחינה כוללת של מכלול הנסיבות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עניינו של הנאשם דנן פחות חמור מעניינו של קפוסטין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מפני שהנאשם לקח אחריות על מעשיו והודה כבר בתחילת החקירה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ומפני שהנאשם תקף את המנוח בדקירה אחת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שלא הייתה מלווה  באכזריות כה רבה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וכן לא היה לנאשם עבר פלילי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לא למותר לציין כי המדינה ערערה על קולת העונש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וטרם ניתן פסק דין בערעור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בתפ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ח </w:t>
      </w:r>
      <w:r>
        <w:rPr>
          <w:rFonts w:cs="David" w:ascii="David" w:hAnsi="David"/>
          <w:b/>
          <w:bCs/>
          <w:sz w:val="32"/>
          <w:szCs w:val="32"/>
        </w:rPr>
        <w:t>49705-06-20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מדינת ישראל נ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'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שלו מורי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פורסם בנבו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27.12.21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נדון עניינו של הנאשם יליד </w:t>
      </w:r>
      <w:r>
        <w:rPr>
          <w:rFonts w:cs="David" w:ascii="David" w:hAnsi="David"/>
          <w:b/>
          <w:bCs/>
          <w:sz w:val="32"/>
          <w:szCs w:val="32"/>
        </w:rPr>
        <w:t>2001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אשר הורשע על פי הודאתו בכתב אישום מתוקן בעבירה של רצח באדישות לפי </w:t>
      </w:r>
      <w:hyperlink r:id="rId24"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ס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 xml:space="preserve">' 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300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לחוק העונשין ובעבירה נוספת של נשיאת נשק לפי סעיף </w:t>
      </w:r>
      <w:hyperlink r:id="rId25"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144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האמור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הסדר הטיעון לא כלל הסכמה לעניין העונש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פרט לכך שהמאשימה הודיעה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כי תעתור 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- </w:t>
      </w:r>
      <w:r>
        <w:rPr>
          <w:rFonts w:cs="David" w:ascii="David" w:hAnsi="David"/>
          <w:b/>
          <w:bCs/>
          <w:sz w:val="32"/>
          <w:szCs w:val="32"/>
        </w:rPr>
        <w:t>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 בפועל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לצד עונשים נלווים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מדובר בנאשם בעל עבר פלילי והרשעות קודמות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כולל מאסר מותנה בר הפעלה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שהורשע כאמור גם בעבירה של נשיאת נשק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בנוסף לעבירת הרצח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ובכך נסיבותיו חמורות מהנסיבות של הנאשם דנן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בית המשפט קבע מתחם ענישה שבין </w:t>
      </w:r>
      <w:r>
        <w:rPr>
          <w:rFonts w:cs="David" w:ascii="David" w:hAnsi="David"/>
          <w:b/>
          <w:bCs/>
          <w:sz w:val="32"/>
          <w:szCs w:val="32"/>
        </w:rPr>
        <w:t>10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15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וגזר על הנאשם </w:t>
      </w:r>
      <w:r>
        <w:rPr>
          <w:rFonts w:cs="David" w:ascii="David" w:hAnsi="David"/>
          <w:b/>
          <w:bCs/>
          <w:sz w:val="32"/>
          <w:szCs w:val="32"/>
        </w:rPr>
        <w:t>12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כאשר המאסר המותנה ירוצה בחופף למאסרו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עם זאת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לא מצאנו כי ניתן ללמוד מגזר דין זה על ענייננו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וזאת נוכח הנסיבות המיוחדות שהצטברו בתיק 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הסדר טיעון בו הגבילה המאשימה את עתירתה לעונש של </w:t>
      </w:r>
      <w:r>
        <w:rPr>
          <w:rFonts w:cs="David" w:ascii="David" w:hAnsi="David"/>
          <w:b/>
          <w:bCs/>
          <w:sz w:val="32"/>
          <w:szCs w:val="32"/>
        </w:rPr>
        <w:t>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כמו העונש על עבירת הריגה שלפני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וכן העובדה כי מורי הורשע בעבירת הרצח כמבצע בצוותא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וחלקו בעבירה הוגדר ע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 בית המשפט כ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פסיבי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כאשר אדם אחר ירה במנוח וגרם למותו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כמו כן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מדובר שם בנאשם צעיר שאך בגר לפני ביצוע העבירה 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-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כבן </w:t>
      </w:r>
      <w:r>
        <w:rPr>
          <w:rFonts w:cs="David" w:ascii="David" w:hAnsi="David"/>
          <w:b/>
          <w:bCs/>
          <w:sz w:val="32"/>
          <w:szCs w:val="32"/>
        </w:rPr>
        <w:t>18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9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חודשים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מכל מקום נעיר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כי לטעמנו קשה ליישב עונש של </w:t>
      </w:r>
      <w:r>
        <w:rPr>
          <w:rFonts w:cs="David" w:ascii="David" w:hAnsi="David"/>
          <w:b/>
          <w:bCs/>
          <w:sz w:val="32"/>
          <w:szCs w:val="32"/>
        </w:rPr>
        <w:t>12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 עם הרשעה בעבירת 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גם כאשר מדובר ביסוד נפשי של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בתפ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ח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חיפה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 </w:t>
      </w:r>
      <w:r>
        <w:rPr>
          <w:rFonts w:cs="David" w:ascii="David" w:hAnsi="David"/>
          <w:b/>
          <w:bCs/>
          <w:sz w:val="32"/>
          <w:szCs w:val="32"/>
        </w:rPr>
        <w:t>2690-09-19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מדינת ישראל נ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'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יחיא חוג</w:t>
      </w:r>
      <w:r>
        <w:rPr>
          <w:rFonts w:cs="David" w:ascii="David" w:hAnsi="David"/>
          <w:b/>
          <w:bCs/>
          <w:sz w:val="32"/>
          <w:szCs w:val="32"/>
          <w:rtl w:val="true"/>
        </w:rPr>
        <w:t>'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יראת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פורסם בנבו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7.2.22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נדון עניינו של נאשם  שהורשע על פי הודאתו בכתב אישום מתוקן בעבירה של רצח ביסוד נפשי של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לפי </w:t>
      </w:r>
      <w:hyperlink r:id="rId26"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300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בעבירה של חבלה בכוונה מחמירה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לפי סעיף </w:t>
      </w:r>
      <w:hyperlink r:id="rId27"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329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2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וכן בעבירות נשק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לפי סעיף </w:t>
      </w:r>
      <w:hyperlink r:id="rId28"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144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 xml:space="preserve">) 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ו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- (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sz w:val="32"/>
            <w:szCs w:val="32"/>
            <w:rtl w:val="true"/>
          </w:rPr>
          <w:t>).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הועמד לדין ביחד עם בן דודו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שהוא גם חברו ושכנו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להלן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בן הדוד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כאשר ברקע העבירות שביצע הנאשם קיימת העובדה  שאחותו של הנאשם התגרשה מבעלה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ועל רקע זה נוצר סכסוך בין משפחתו של הנאשם ובין משפחתו של הגרוש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במועד האירוע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התלוננה אחותו של הנאשם כי אנשים מהמשפחה היריבה חסמו את דרכה בעת שנסעה במכוניתה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ועל רקע זה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החליט הנאשם לנקום במשפחה היריבה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ופנה לבן דודו שיסייע לו בכך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בן הדוד אכן סייע לנאשם והשיג עבורו נשק מאולתר ותחמושת מתאימה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ובשלב מסוים לאחר חצות הלילה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ובן דודו הגיעו ברכב לאזור מגוריהם של בני המשפחה היריבה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ירדו מהרכב והתקדמו רגלית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והבחינו באחיינו של הגרוש שיושב עם חברו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להלן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ברכב שחונה בשולי הכביש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בשלב זה החליט הנאשם לירות לעבר השניים בכוונה להטיל בהם נכות או מום או לגרום להם חבלה חמורה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כשהוא שווה נפש לאפשרות שיגרום למותם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ובן דודו החליט לסייע לו בכך שעמד לצדו בעת הירי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אבטח אותו והקל עליו לבצע את הירי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אחד הקליעים שירה הנאשם פגע בדלת השמאלית אחורית של הרכב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חדר אותה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פגע בצידה האחורי של זרוע שמאל של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ומשם חדר לגופו של המנוח בצד שמאל של החזה ושל הריאה השמאלית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המנוח הובהל באמבולנס לבית החולים ושם נקבע מותו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בית המשפט קבע מתחם ענישה שבין </w:t>
      </w:r>
      <w:r>
        <w:rPr>
          <w:rFonts w:cs="David" w:ascii="David" w:hAnsi="David"/>
          <w:b/>
          <w:bCs/>
          <w:sz w:val="32"/>
          <w:szCs w:val="32"/>
        </w:rPr>
        <w:t>18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25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וגזר על הנאשם עונש ברף התחתון של המתחם   </w:t>
      </w:r>
      <w:r>
        <w:rPr>
          <w:rFonts w:cs="David" w:ascii="David" w:hAnsi="David"/>
          <w:b/>
          <w:bCs/>
          <w:sz w:val="32"/>
          <w:szCs w:val="32"/>
        </w:rPr>
        <w:t>18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הנסיבות שם חמורות יותר מהנסיבות שלפנינו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ולו בשל העובדה שהנאשם שם הורשע בשתי עבירות חמורות נוספות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עבירה של חבלה הכוונה מחמירה שהעונד המרבי עליה כשלעצמה הוא </w:t>
      </w:r>
      <w:r>
        <w:rPr>
          <w:rFonts w:cs="David" w:ascii="David" w:hAnsi="David"/>
          <w:b/>
          <w:bCs/>
          <w:sz w:val="32"/>
          <w:szCs w:val="32"/>
        </w:rPr>
        <w:t>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וכן בעבירות בנשק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בגזר הדין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התייחס בית המשפט גם לשינוי שחל ביחס לעבירה זו בעקבות 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העונשין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ולנו לא נותר אלא להצטרף בהסכמה לדברים הנכוחים שנאמרו 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יובאו בשם אומרם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כלשונם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[...]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פסיקה אשר התבססה על הוראת </w:t>
      </w:r>
      <w:hyperlink r:id="rId29"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298</w:t>
        </w:r>
      </w:hyperlink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לחוק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עבירת הריגה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גם אם במצב נפשי של אי 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-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אכפתיות או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איננה עוד רלבנטית כעת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המחוקק אמר דברו   העונש המרבי הוחמר באורח מהותי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20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שנות מאסר למאסר עולם או </w:t>
      </w:r>
      <w:r>
        <w:rPr>
          <w:rFonts w:cs="David" w:ascii="David" w:hAnsi="David"/>
          <w:b/>
          <w:bCs/>
          <w:sz w:val="32"/>
          <w:szCs w:val="32"/>
        </w:rPr>
        <w:t>30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);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ההגדרה איננה עוד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הריגה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אלא 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";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התפיסה איננה עוד של גרימת מוות בשגגה אלא של גרימת מוות מתוך התנכרות לערך קדושת   החיים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לכל אלה נודעות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מטבע הדברים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משמעויות מחמירות על רמת 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-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הענישה וצפויה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לטעמנו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החמרה ברמת הענישה הננקטת ביחס למעשי עבירה בעלת אופי זהה לאחר שאלו ידונו לפי הדין שלאחר כניסת הרפורמה לתוקף </w:t>
      </w:r>
      <w:r>
        <w:rPr>
          <w:rFonts w:cs="David" w:ascii="David" w:hAnsi="David"/>
          <w:b/>
          <w:bCs/>
          <w:sz w:val="32"/>
          <w:szCs w:val="32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ההדגשה במקור   א</w:t>
      </w:r>
      <w:r>
        <w:rPr>
          <w:rFonts w:cs="David" w:ascii="David" w:hAnsi="David"/>
          <w:b/>
          <w:bCs/>
          <w:sz w:val="32"/>
          <w:szCs w:val="32"/>
          <w:rtl w:val="true"/>
        </w:rPr>
        <w:t>.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מ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.). 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בהתחשב במכלול השיקולים שפורטו לעיל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ובכללם הפגיעה החמורה בערכים מוגנים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והנזק הקשה והבלתי הפיך שנגרם כתוצאה מהמעשה החמור שביצע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ובהינתן מדיניות הענישה הנוהגת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כפי שהיא עולה מפסקי הדין שפורטו לעיל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מצאנו לקבוע כי מתחם העונש ההולם נע בין </w:t>
      </w:r>
      <w:r>
        <w:rPr>
          <w:rFonts w:cs="David" w:ascii="David" w:hAnsi="David"/>
          <w:b/>
          <w:bCs/>
          <w:sz w:val="32"/>
          <w:szCs w:val="32"/>
        </w:rPr>
        <w:t>16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</w:t>
      </w:r>
      <w:r>
        <w:rPr>
          <w:rFonts w:cs="David" w:ascii="David" w:hAnsi="David"/>
          <w:b/>
          <w:bCs/>
          <w:sz w:val="32"/>
          <w:szCs w:val="32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</w:rPr>
        <w:t>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 לריצוי בפועל לצד עונשים נלווים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עם זאת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אנו מוצאים לנכון להדגיש כי לטעמנו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ראוי היה לקבוע בעבירה זו בנסיבות אלה מתחם גבוה יותר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שיהלום את החומרה היתירה של עבירת הרצח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גם אם מדובר ביסוד נפשי של אדישות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ואת הפגיעה החמורה והבלתי הפיכה שיש בה בערך העליון של קדושת החיים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ואולם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בהתחשב ברמת הענישה שנקבעה בפסקי הדין הבודדים שניתנו עד כה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שכן מדובר בעבירה חדשה שבאה לעולם בתיקון </w:t>
      </w:r>
      <w:r>
        <w:rPr>
          <w:rFonts w:cs="David" w:ascii="David" w:hAnsi="David"/>
          <w:b/>
          <w:bCs/>
          <w:sz w:val="32"/>
          <w:szCs w:val="32"/>
        </w:rPr>
        <w:t>137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לחוק העונשין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קבענו מתחם מקל יותר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יש בו כדי לבטא מידה מתונה של החמרה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קביעת העונש בתוך המתחם בבואנו לקבוע את עונשו של הנאשם בתוך המתחם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יש מקום להתחשב גם בנסיבות שאינן קשורות בביצוע העבירה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כעולה מסעיף </w:t>
      </w:r>
      <w:hyperlink r:id="rId30">
        <w:r>
          <w:rPr>
            <w:rStyle w:val="Hyperlink"/>
            <w:rFonts w:cs="David" w:ascii="David" w:hAnsi="David"/>
            <w:b/>
            <w:bCs/>
            <w:sz w:val="32"/>
            <w:szCs w:val="32"/>
          </w:rPr>
          <w:t>40</w:t>
        </w:r>
        <w:r>
          <w:rPr>
            <w:rStyle w:val="Hyperlink"/>
            <w:rFonts w:ascii="David" w:hAnsi="David"/>
            <w:b/>
            <w:b/>
            <w:bCs/>
            <w:sz w:val="32"/>
            <w:sz w:val="32"/>
            <w:szCs w:val="32"/>
            <w:rtl w:val="true"/>
          </w:rPr>
          <w:t>יא</w:t>
        </w:r>
      </w:hyperlink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 לחוק העונשין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לזכותו של הנאשם יש לזקוף את האחריות  המלאה שנטל על מעשיו והביע חרטה עליהם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ובכך חסך לא רק בזמן שיפוטי יקר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אלא גם חסך ממשפחתו של המנוח לחוות את הכאב הכרוך מטבע הדברים בניהול ההליך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בנוסף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לא נעלמה מעניינו העובדה כי מדובר במאסרו הראשון של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ונתנו דעתנו גם לפגיעה המשמעותית של עונש מאסר ממושך בנאשם ובעיקר העובדה כי הנאשם נמצא בארץ בגפו ללא תמיכה משפחתית כלשהי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וכשהוא אינו דובר את השפה בכלא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עובדה אשר יש בה בכדי להעצים את הקושי בריצוי המאסר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כמו כן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הנאשם נעדר עבר פלילי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לפחות מאז שהוא נמצא בארץ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בסופו של יום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לאחר ששקלנו את מכלול נסיבותיו של הנאשם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ואת השיקולים לקולא ולחומרה שפורטו לעיל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בהינתן העובדה שהנאשם הודה בהזדמנות הראשונה ולקח אחריות על מעשיו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ובשים לב לרמת הענישה שנקבעה בנסיבות דומות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החלטנו למקם את עונש המאסר של הנאשם בשליש התחתון של מתחם העונש ההולם שקבענו לעיל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סוף דבר סוף דבר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נוכח כל האמור לעיל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אנו גוזרים על הנאשם את העונשים הבאים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: </w:t>
      </w:r>
      <w:r>
        <w:rPr>
          <w:rFonts w:cs="David" w:ascii="David" w:hAnsi="David"/>
          <w:b/>
          <w:bCs/>
          <w:sz w:val="32"/>
          <w:szCs w:val="32"/>
        </w:rPr>
        <w:t>17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שנות מאסר בפועל שיימנו החל מיום מעצרו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cs="David" w:ascii="David" w:hAnsi="David"/>
          <w:b/>
          <w:bCs/>
          <w:sz w:val="32"/>
          <w:szCs w:val="32"/>
        </w:rPr>
        <w:t>18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חודשי מאסר על תנאי למשך </w:t>
      </w:r>
      <w:r>
        <w:rPr>
          <w:rFonts w:cs="David" w:ascii="David" w:hAnsi="David"/>
          <w:b/>
          <w:bCs/>
          <w:sz w:val="32"/>
          <w:szCs w:val="32"/>
        </w:rPr>
        <w:t>3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שנים מיום שחרורו ממאסר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שלא יעבור כל עבירת אלימות מסוג פשע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cs="David" w:ascii="David" w:hAnsi="David"/>
          <w:b/>
          <w:bCs/>
          <w:sz w:val="32"/>
          <w:szCs w:val="32"/>
        </w:rPr>
        <w:t>9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חודשי מאסר על תנאי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למשך </w:t>
      </w:r>
      <w:r>
        <w:rPr>
          <w:rFonts w:cs="David" w:ascii="David" w:hAnsi="David"/>
          <w:b/>
          <w:bCs/>
          <w:sz w:val="32"/>
          <w:szCs w:val="32"/>
        </w:rPr>
        <w:t>3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שנים מיום שחרורו ממאסר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שלא יעבור כל עבירת אלימות מסוג עוון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פיצוי בשיעור המרבי שנקבע בחוק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בסך </w:t>
      </w:r>
      <w:r>
        <w:rPr>
          <w:rFonts w:cs="David" w:ascii="David" w:hAnsi="David"/>
          <w:b/>
          <w:bCs/>
          <w:sz w:val="32"/>
          <w:szCs w:val="32"/>
        </w:rPr>
        <w:t>258,000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₪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אשר יחולקו בין רעייתו של המנוח ובין הוריו של המנוח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בהתאם לפרטים שיימסרו ע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 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כ המאשימה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sz w:val="32"/>
          <w:szCs w:val="32"/>
        </w:rPr>
        <w:t>45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יום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ניתן היום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'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אייר תשפ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</w:rPr>
        <w:t>03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מאי </w:t>
      </w:r>
      <w:r>
        <w:rPr>
          <w:rFonts w:cs="David" w:ascii="David" w:hAnsi="David"/>
          <w:b/>
          <w:bCs/>
          <w:sz w:val="32"/>
          <w:szCs w:val="32"/>
        </w:rPr>
        <w:t>2022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במעמד הצדדים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.   -- -- 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יעל רז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-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לוי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אב</w:t>
      </w:r>
      <w:r>
        <w:rPr>
          <w:rFonts w:cs="David" w:ascii="David" w:hAnsi="David"/>
          <w:b/>
          <w:bCs/>
          <w:sz w:val="32"/>
          <w:szCs w:val="32"/>
          <w:rtl w:val="true"/>
        </w:rPr>
        <w:t>"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ד</w:t>
      </w:r>
      <w:r>
        <w:rPr>
          <w:rFonts w:cs="David" w:ascii="David" w:hAnsi="David"/>
          <w:b/>
          <w:bCs/>
          <w:sz w:val="32"/>
          <w:szCs w:val="32"/>
          <w:rtl w:val="true"/>
        </w:rPr>
        <w:t>--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גילת שלו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שופטת</w:t>
      </w:r>
      <w:r>
        <w:rPr>
          <w:rFonts w:cs="David" w:ascii="David" w:hAnsi="David"/>
          <w:b/>
          <w:bCs/>
          <w:sz w:val="32"/>
          <w:szCs w:val="32"/>
          <w:rtl w:val="true"/>
        </w:rPr>
        <w:t>--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אהרון משניות</w:t>
      </w:r>
      <w:r>
        <w:rPr>
          <w:rFonts w:cs="David" w:ascii="David" w:hAnsi="David"/>
          <w:b/>
          <w:bCs/>
          <w:sz w:val="32"/>
          <w:szCs w:val="32"/>
          <w:rtl w:val="true"/>
        </w:rPr>
        <w:t xml:space="preserve">, </w:t>
      </w:r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 xml:space="preserve">שופט       </w:t>
      </w:r>
    </w:p>
    <w:p>
      <w:pPr>
        <w:pStyle w:val="Normal"/>
        <w:spacing w:lineRule="auto" w:line="360" w:before="160" w:after="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bookmarkStart w:id="13" w:name="Nitan"/>
      <w:bookmarkEnd w:id="13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רז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13491-09-20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cs="David" w:ascii="David" w:hAnsi="David"/>
        <w:color w:val="000000"/>
        <w:sz w:val="22"/>
        <w:szCs w:val="22"/>
      </w:rPr>
      <w:t>ANANTAPHAK THAWEESIT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0.a.2.a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144.a.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300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2269131" TargetMode="External"/><Relationship Id="rId15" Type="http://schemas.openxmlformats.org/officeDocument/2006/relationships/hyperlink" Target="http://www.nevo.co.il/case/26776067" TargetMode="External"/><Relationship Id="rId16" Type="http://schemas.openxmlformats.org/officeDocument/2006/relationships/hyperlink" Target="http://www.nevo.co.il/law/70301/300.a" TargetMode="External"/><Relationship Id="rId17" Type="http://schemas.openxmlformats.org/officeDocument/2006/relationships/hyperlink" Target="http://www.nevo.co.il/law/70301/20.a.2.a" TargetMode="External"/><Relationship Id="rId18" Type="http://schemas.openxmlformats.org/officeDocument/2006/relationships/hyperlink" Target="http://www.nevo.co.il/case/6248245" TargetMode="External"/><Relationship Id="rId19" Type="http://schemas.openxmlformats.org/officeDocument/2006/relationships/hyperlink" Target="http://www.nevo.co.il/law/70301/40c.a" TargetMode="External"/><Relationship Id="rId20" Type="http://schemas.openxmlformats.org/officeDocument/2006/relationships/hyperlink" Target="http://www.nevo.co.il/law/70301/300.a" TargetMode="External"/><Relationship Id="rId21" Type="http://schemas.openxmlformats.org/officeDocument/2006/relationships/hyperlink" Target="http://www.nevo.co.il/case/7012276" TargetMode="External"/><Relationship Id="rId22" Type="http://schemas.openxmlformats.org/officeDocument/2006/relationships/hyperlink" Target="http://www.nevo.co.il/law/70301/40i.a" TargetMode="External"/><Relationship Id="rId23" Type="http://schemas.openxmlformats.org/officeDocument/2006/relationships/hyperlink" Target="http://www.nevo.co.il/case/24882870" TargetMode="External"/><Relationship Id="rId24" Type="http://schemas.openxmlformats.org/officeDocument/2006/relationships/hyperlink" Target="http://www.nevo.co.il/law/70301/300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300.a" TargetMode="External"/><Relationship Id="rId27" Type="http://schemas.openxmlformats.org/officeDocument/2006/relationships/hyperlink" Target="http://www.nevo.co.il/law/70301/329.a.2" TargetMode="External"/><Relationship Id="rId28" Type="http://schemas.openxmlformats.org/officeDocument/2006/relationships/hyperlink" Target="http://www.nevo.co.il/law/70301/144.a.144.b" TargetMode="External"/><Relationship Id="rId29" Type="http://schemas.openxmlformats.org/officeDocument/2006/relationships/hyperlink" Target="http://www.nevo.co.il/law/70301/298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2023-03-19T15:19:00Z</dcterms:created>
  <dc:creator> </dc:creator>
  <dc:description/>
  <cp:keywords/>
  <dc:language>en-IL</dc:language>
  <cp:lastModifiedBy>h1</cp:lastModifiedBy>
  <dcterms:modified xsi:type="dcterms:W3CDTF">2023-03-19T15:19:00Z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ANANTAPHAK THAWEESIT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22269131;6248245;7012276;24882870</vt:lpwstr>
  </property>
  <property fmtid="{D5CDD505-2E9C-101B-9397-08002B2CF9AE}" pid="9" name="CITY">
    <vt:lpwstr>ב"ש</vt:lpwstr>
  </property>
  <property fmtid="{D5CDD505-2E9C-101B-9397-08002B2CF9AE}" pid="10" name="DATE">
    <vt:lpwstr>20210121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רז לוי;שלו;משניות</vt:lpwstr>
  </property>
  <property fmtid="{D5CDD505-2E9C-101B-9397-08002B2CF9AE}" pid="14" name="LAWLISTTMP1">
    <vt:lpwstr>70301/300.a:5;020.a.2.a;040c.a;040i.a;144.b;329.a.2;144.a.144.b;298;40ja</vt:lpwstr>
  </property>
  <property fmtid="{D5CDD505-2E9C-101B-9397-08002B2CF9AE}" pid="15" name="LAWYER">
    <vt:lpwstr>מונטיליו סגל;נועם בונדר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13491</vt:lpwstr>
  </property>
  <property fmtid="{D5CDD505-2E9C-101B-9397-08002B2CF9AE}" pid="22" name="NEWPARTB">
    <vt:lpwstr>09</vt:lpwstr>
  </property>
  <property fmtid="{D5CDD505-2E9C-101B-9397-08002B2CF9AE}" pid="23" name="NEWPARTC">
    <vt:lpwstr>20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390020210121</vt:lpwstr>
  </property>
  <property fmtid="{D5CDD505-2E9C-101B-9397-08002B2CF9AE}" pid="34" name="TYPE_N_DATE">
    <vt:lpwstr>39020210121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