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 השופט – זיאד הווארי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כבוד השופט – אשר קולה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>
          <w:trHeight w:val="1008" w:hRule="atLeast"/>
        </w:trPr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 משה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סימונה בן חיים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לוי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הובא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הליווי</w:t>
      </w:r>
      <w:r>
        <w:rPr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עאמר בהעברה מעו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תומר נוה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האזנת סתר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FirstLawyer"/>
      <w:bookmarkStart w:id="9" w:name="PsakDin"/>
      <w:bookmarkEnd w:id="8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both"/>
        <w:rPr/>
      </w:pPr>
      <w:bookmarkStart w:id="12" w:name="ABSTRACT_START"/>
      <w:bookmarkEnd w:id="12"/>
      <w:r>
        <w:rPr>
          <w:rtl w:val="true"/>
        </w:rPr>
        <w:t xml:space="preserve">ביום </w:t>
      </w:r>
      <w:r>
        <w:rPr/>
        <w:t>2/9/2009</w:t>
      </w:r>
      <w:r>
        <w:rPr>
          <w:rtl w:val="true"/>
        </w:rPr>
        <w:t xml:space="preserve">, </w:t>
      </w:r>
      <w:r>
        <w:rPr>
          <w:rtl w:val="true"/>
        </w:rPr>
        <w:t>הוגש נגד הנאשם</w:t>
      </w:r>
      <w:r>
        <w:rPr>
          <w:rtl w:val="true"/>
        </w:rPr>
        <w:t xml:space="preserve">, </w:t>
      </w:r>
      <w:r>
        <w:rPr>
          <w:rtl w:val="true"/>
        </w:rPr>
        <w:t>בבית המשפט המחוזי בנצרת</w:t>
      </w:r>
      <w:r>
        <w:rPr>
          <w:rtl w:val="true"/>
        </w:rPr>
        <w:t xml:space="preserve">, </w:t>
      </w:r>
      <w:r>
        <w:rPr>
          <w:rtl w:val="true"/>
        </w:rPr>
        <w:t>כתב אישום המייחס לו עבירה של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305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"), </w:t>
      </w: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נשיאה והחזקה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שתי עבירות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עבירה של החזקת סכין שלא למטרה כשרה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בשני 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כפר תחילה בעובדות כתב האישום</w:t>
      </w:r>
      <w:r>
        <w:rPr>
          <w:rtl w:val="true"/>
        </w:rPr>
        <w:t xml:space="preserve">, </w:t>
      </w:r>
      <w:r>
        <w:rPr>
          <w:rtl w:val="true"/>
        </w:rPr>
        <w:t>אולם הוא חזר בו מכפירתו לאחר שנשמעה כבר פרשת התביעה במלואה</w:t>
      </w:r>
      <w:r>
        <w:rPr>
          <w:rtl w:val="true"/>
        </w:rPr>
        <w:t xml:space="preserve">, </w:t>
      </w:r>
      <w:r>
        <w:rPr>
          <w:rtl w:val="true"/>
        </w:rPr>
        <w:t>והחלה להישמע פרשת ההגנה</w:t>
      </w:r>
      <w:r>
        <w:rPr>
          <w:rtl w:val="true"/>
        </w:rPr>
        <w:t xml:space="preserve">, </w:t>
      </w:r>
      <w:r>
        <w:rPr>
          <w:rtl w:val="true"/>
        </w:rPr>
        <w:t>במסגרתה העידו הנאשם עצמו</w:t>
      </w:r>
      <w:r>
        <w:rPr>
          <w:rtl w:val="true"/>
        </w:rPr>
        <w:t xml:space="preserve">, </w:t>
      </w:r>
      <w:r>
        <w:rPr>
          <w:rtl w:val="true"/>
        </w:rPr>
        <w:t>ועדים נוספים מטעמו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הסדר טיעון מיום </w:t>
      </w:r>
      <w:r>
        <w:rPr/>
        <w:t>5/9/2010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הורשע הנאשם בעבירה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ובעבירה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b/>
          <w:b/>
          <w:bCs/>
          <w:rtl w:val="true"/>
        </w:rPr>
        <w:t>באישום האחד</w:t>
      </w:r>
      <w:r>
        <w:rPr>
          <w:rtl w:val="true"/>
        </w:rPr>
        <w:t xml:space="preserve">); </w:t>
      </w:r>
      <w:r>
        <w:rPr>
          <w:rtl w:val="true"/>
        </w:rPr>
        <w:t>וכן הורשע בעבירה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 העונשין ובעבירה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b/>
          <w:b/>
          <w:bCs/>
          <w:rtl w:val="true"/>
        </w:rPr>
        <w:t>באישום השני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אלי אליהו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 xml:space="preserve">ואפרים אליהו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אפרים</w:t>
      </w:r>
      <w:r>
        <w:rPr>
          <w:rtl w:val="true"/>
        </w:rPr>
        <w:t xml:space="preserve">") </w:t>
      </w:r>
      <w:r>
        <w:rPr>
          <w:rtl w:val="true"/>
        </w:rPr>
        <w:t>הנם אחים המתגוררים באותו בניין בטבריה</w:t>
      </w:r>
      <w:r>
        <w:rPr>
          <w:rtl w:val="true"/>
        </w:rPr>
        <w:t xml:space="preserve">. </w:t>
      </w:r>
      <w:r>
        <w:rPr>
          <w:rtl w:val="true"/>
        </w:rPr>
        <w:t>המתלונן היה בעבר בקשר זוגי עם יעל פרנקו</w:t>
      </w:r>
      <w:r>
        <w:rPr>
          <w:rtl w:val="true"/>
        </w:rPr>
        <w:t xml:space="preserve">, </w:t>
      </w:r>
      <w:r>
        <w:rPr>
          <w:rtl w:val="true"/>
        </w:rPr>
        <w:t>ולהם בת פעוטה משותפת</w:t>
      </w:r>
      <w:r>
        <w:rPr>
          <w:rtl w:val="true"/>
        </w:rPr>
        <w:t xml:space="preserve">. </w:t>
      </w:r>
      <w:r>
        <w:rPr>
          <w:rtl w:val="true"/>
        </w:rPr>
        <w:t>במהלך החודשים האחרונים עובר להגשת כתב האישום היה הנאשם בן זוגה של יעל</w:t>
      </w:r>
      <w:r>
        <w:rPr>
          <w:rtl w:val="true"/>
        </w:rPr>
        <w:t xml:space="preserve">. </w:t>
      </w:r>
      <w:r>
        <w:rPr>
          <w:rtl w:val="true"/>
        </w:rPr>
        <w:t>על רקע הקשר בין הנאשם לבין יעל</w:t>
      </w:r>
      <w:r>
        <w:rPr>
          <w:rtl w:val="true"/>
        </w:rPr>
        <w:t xml:space="preserve">, </w:t>
      </w:r>
      <w:r>
        <w:rPr>
          <w:rtl w:val="true"/>
        </w:rPr>
        <w:t>קיים סכסוך בין הנאשם ובין המתלונן ואפרים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 תקופה של מספר חודשים עובר להגשת כתב האישום</w:t>
      </w:r>
      <w:r>
        <w:rPr>
          <w:rtl w:val="true"/>
        </w:rPr>
        <w:t xml:space="preserve">, </w:t>
      </w:r>
      <w:r>
        <w:rPr>
          <w:rtl w:val="true"/>
        </w:rPr>
        <w:t>נהג הנאשם להתקשר למתלונן ולדרוש ממנו באיומים כי לא יצור קשר עם יעל</w:t>
      </w:r>
      <w:r>
        <w:rPr>
          <w:rtl w:val="true"/>
        </w:rPr>
        <w:t xml:space="preserve">, </w:t>
      </w:r>
      <w:r>
        <w:rPr>
          <w:rtl w:val="true"/>
        </w:rPr>
        <w:t>אף לא בקשר לבתם המשותפת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כחודש וחצי קודם ליום </w:t>
      </w:r>
      <w:r>
        <w:rPr/>
        <w:t>10/8/09</w:t>
      </w:r>
      <w:r>
        <w:rPr>
          <w:rtl w:val="true"/>
        </w:rPr>
        <w:t xml:space="preserve"> </w:t>
      </w:r>
      <w:r>
        <w:rPr>
          <w:rtl w:val="true"/>
        </w:rPr>
        <w:t>השלימו הנאשם</w:t>
      </w:r>
      <w:r>
        <w:rPr>
          <w:rtl w:val="true"/>
        </w:rPr>
        <w:t xml:space="preserve">, </w:t>
      </w:r>
      <w:r>
        <w:rPr>
          <w:rtl w:val="true"/>
        </w:rPr>
        <w:t>המתלונן ואפרים ביניהם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הנאשם המשיך להתקשר למתלונן ולדרוש ממנו כי לא יתקשר ליעל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כשבוע לאחר הפיוס בין הנאשם ובין המתלונן ואפרים</w:t>
      </w:r>
      <w:r>
        <w:rPr>
          <w:rtl w:val="true"/>
        </w:rPr>
        <w:t xml:space="preserve">, </w:t>
      </w:r>
      <w:r>
        <w:rPr>
          <w:rtl w:val="true"/>
        </w:rPr>
        <w:t>הופיע הנאשם סמוך לבניין מגוריהם של המתלונן ואפרים</w:t>
      </w:r>
      <w:r>
        <w:rPr>
          <w:rtl w:val="true"/>
        </w:rPr>
        <w:t xml:space="preserve">, </w:t>
      </w:r>
      <w:r>
        <w:rPr>
          <w:rtl w:val="true"/>
        </w:rPr>
        <w:t>כאשר הוא נושא על גופו אקדח</w:t>
      </w:r>
      <w:r>
        <w:rPr>
          <w:rtl w:val="true"/>
        </w:rPr>
        <w:t xml:space="preserve">, </w:t>
      </w:r>
      <w:r>
        <w:rPr>
          <w:rtl w:val="true"/>
        </w:rPr>
        <w:t>בו החזיק ללא היתר כדין</w:t>
      </w:r>
      <w:r>
        <w:rPr>
          <w:rtl w:val="true"/>
        </w:rPr>
        <w:t xml:space="preserve">. </w:t>
      </w:r>
      <w:r>
        <w:rPr>
          <w:rtl w:val="true"/>
        </w:rPr>
        <w:t>הנאשם פנה לאפרים</w:t>
      </w:r>
      <w:r>
        <w:rPr>
          <w:rtl w:val="true"/>
        </w:rPr>
        <w:t xml:space="preserve">, </w:t>
      </w:r>
      <w:r>
        <w:rPr>
          <w:rtl w:val="true"/>
        </w:rPr>
        <w:t>שהיה בחצר הבניין</w:t>
      </w:r>
      <w:r>
        <w:rPr>
          <w:rtl w:val="true"/>
        </w:rPr>
        <w:t xml:space="preserve">, </w:t>
      </w:r>
      <w:r>
        <w:rPr>
          <w:rtl w:val="true"/>
        </w:rPr>
        <w:t>ותוך שהוא מראה לו את הנשק</w:t>
      </w:r>
      <w:r>
        <w:rPr>
          <w:rtl w:val="true"/>
        </w:rPr>
        <w:t xml:space="preserve">, </w:t>
      </w:r>
      <w:r>
        <w:rPr>
          <w:rtl w:val="true"/>
        </w:rPr>
        <w:t>איים עליו באומרו</w:t>
      </w:r>
      <w:r>
        <w:rPr>
          <w:rtl w:val="true"/>
        </w:rPr>
        <w:t>: "</w:t>
      </w:r>
      <w:r>
        <w:rPr>
          <w:rtl w:val="true"/>
        </w:rPr>
        <w:t>סתם נתתם לי לקנות נשק ב</w:t>
      </w:r>
      <w:r>
        <w:rPr>
          <w:rtl w:val="true"/>
        </w:rPr>
        <w:t>-</w:t>
      </w:r>
      <w:r>
        <w:rPr/>
        <w:t>8,000</w:t>
      </w:r>
      <w:r>
        <w:rPr>
          <w:rtl w:val="true"/>
        </w:rPr>
        <w:t xml:space="preserve"> ₪". </w:t>
      </w:r>
      <w:r>
        <w:rPr>
          <w:rtl w:val="true"/>
        </w:rPr>
        <w:t>הנאשם הוסיף ואיים על המתלונן ואפרים באומרו</w:t>
      </w:r>
      <w:r>
        <w:rPr>
          <w:rtl w:val="true"/>
        </w:rPr>
        <w:t>: "</w:t>
      </w:r>
      <w:r>
        <w:rPr>
          <w:rtl w:val="true"/>
        </w:rPr>
        <w:t>טוב שעשינו סולחה</w:t>
      </w:r>
      <w:r>
        <w:rPr>
          <w:rtl w:val="true"/>
        </w:rPr>
        <w:t xml:space="preserve">, </w:t>
      </w:r>
      <w:r>
        <w:rPr>
          <w:rtl w:val="true"/>
        </w:rPr>
        <w:t>עכשיו אני צריך להחזיק את האקדח אני לא יודע מי ייקח אותו ממני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10/8/09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21:30</w:t>
      </w:r>
      <w:r>
        <w:rPr>
          <w:rtl w:val="true"/>
        </w:rPr>
        <w:t xml:space="preserve">, </w:t>
      </w:r>
      <w:r>
        <w:rPr>
          <w:rtl w:val="true"/>
        </w:rPr>
        <w:t>התקשר הנאשם אל המתלונן והזמינו להגיע לביתו</w:t>
      </w:r>
      <w:r>
        <w:rPr>
          <w:rtl w:val="true"/>
        </w:rPr>
        <w:t xml:space="preserve">, </w:t>
      </w:r>
      <w:r>
        <w:rPr>
          <w:rtl w:val="true"/>
        </w:rPr>
        <w:t>באומרו כי הוא מעוניין שהמתלונן יטפל בגינתו וכן שהוא רוצה למכור למתלונן ברזלים</w:t>
      </w:r>
      <w:r>
        <w:rPr>
          <w:rtl w:val="true"/>
        </w:rPr>
        <w:t xml:space="preserve">, </w:t>
      </w:r>
      <w:r>
        <w:rPr>
          <w:rtl w:val="true"/>
        </w:rPr>
        <w:t>ודבר מה נוסף שלא ציין מה 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שהמתלונן הגיע לבית הנאשם</w:t>
      </w:r>
      <w:r>
        <w:rPr>
          <w:rtl w:val="true"/>
        </w:rPr>
        <w:t xml:space="preserve">, </w:t>
      </w:r>
      <w:r>
        <w:rPr>
          <w:rtl w:val="true"/>
        </w:rPr>
        <w:t>הציג הנאשם בפניו את הגינה</w:t>
      </w:r>
      <w:r>
        <w:rPr>
          <w:rtl w:val="true"/>
        </w:rPr>
        <w:t xml:space="preserve">, </w:t>
      </w:r>
      <w:r>
        <w:rPr>
          <w:rtl w:val="true"/>
        </w:rPr>
        <w:t>את הברזלים המדוברים</w:t>
      </w:r>
      <w:r>
        <w:rPr>
          <w:rtl w:val="true"/>
        </w:rPr>
        <w:t xml:space="preserve">, </w:t>
      </w:r>
      <w:r>
        <w:rPr>
          <w:rtl w:val="true"/>
        </w:rPr>
        <w:t>ומסור שרשרת אותו הציע למכור לו</w:t>
      </w:r>
      <w:r>
        <w:rPr>
          <w:rtl w:val="true"/>
        </w:rPr>
        <w:t xml:space="preserve">. </w:t>
      </w:r>
      <w:r>
        <w:rPr>
          <w:rtl w:val="true"/>
        </w:rPr>
        <w:t>לאחר כשתי דקות בהן בחן המתלונן את הגינה</w:t>
      </w:r>
      <w:r>
        <w:rPr>
          <w:rtl w:val="true"/>
        </w:rPr>
        <w:t xml:space="preserve">, </w:t>
      </w:r>
      <w:r>
        <w:rPr>
          <w:rtl w:val="true"/>
        </w:rPr>
        <w:t>התכופף המתלונן אל המסור וניסה להפעילו</w:t>
      </w:r>
      <w:r>
        <w:rPr>
          <w:rtl w:val="true"/>
        </w:rPr>
        <w:t xml:space="preserve">. </w:t>
      </w:r>
      <w:r>
        <w:rPr>
          <w:rtl w:val="true"/>
        </w:rPr>
        <w:t>בו בזמן</w:t>
      </w:r>
      <w:r>
        <w:rPr>
          <w:rtl w:val="true"/>
        </w:rPr>
        <w:t xml:space="preserve">, </w:t>
      </w:r>
      <w:r>
        <w:rPr>
          <w:rtl w:val="true"/>
        </w:rPr>
        <w:t>הצטייד הנאשם במוט עץ ובחפץ חד</w:t>
      </w:r>
      <w:r>
        <w:rPr>
          <w:rtl w:val="true"/>
        </w:rPr>
        <w:t xml:space="preserve">, </w:t>
      </w:r>
      <w:r>
        <w:rPr>
          <w:rtl w:val="true"/>
        </w:rPr>
        <w:t>במטרה לחבול במתלונן</w:t>
      </w:r>
      <w:r>
        <w:rPr>
          <w:rtl w:val="true"/>
        </w:rPr>
        <w:t xml:space="preserve">. </w:t>
      </w:r>
      <w:r>
        <w:rPr>
          <w:rtl w:val="true"/>
        </w:rPr>
        <w:t>הנאשם נעמד ליד המתלונן והכה בראשו במוט</w:t>
      </w:r>
      <w:r>
        <w:rPr>
          <w:rtl w:val="true"/>
        </w:rPr>
        <w:t xml:space="preserve">. </w:t>
      </w:r>
      <w:r>
        <w:rPr>
          <w:rtl w:val="true"/>
        </w:rPr>
        <w:t>המתלונן הספיק לבלום חלקית את המכה בעזרת ידו הימנית</w:t>
      </w:r>
      <w:r>
        <w:rPr>
          <w:rtl w:val="true"/>
        </w:rPr>
        <w:t xml:space="preserve">, </w:t>
      </w:r>
      <w:r>
        <w:rPr>
          <w:rtl w:val="true"/>
        </w:rPr>
        <w:t>אולם נפל ארצה עקב המכה העזה</w:t>
      </w:r>
      <w:r>
        <w:rPr>
          <w:rtl w:val="true"/>
        </w:rPr>
        <w:t xml:space="preserve">. </w:t>
      </w:r>
      <w:r>
        <w:rPr>
          <w:rtl w:val="true"/>
        </w:rPr>
        <w:t>לאחר שנפל המתלונן ארצה</w:t>
      </w:r>
      <w:r>
        <w:rPr>
          <w:rtl w:val="true"/>
        </w:rPr>
        <w:t xml:space="preserve">, </w:t>
      </w:r>
      <w:r>
        <w:rPr>
          <w:rtl w:val="true"/>
        </w:rPr>
        <w:t>דקר אותו הנאשם</w:t>
      </w:r>
      <w:r>
        <w:rPr>
          <w:rtl w:val="true"/>
        </w:rPr>
        <w:t xml:space="preserve">, </w:t>
      </w:r>
      <w:r>
        <w:rPr>
          <w:rtl w:val="true"/>
        </w:rPr>
        <w:t>באמצעות החפץ החד</w:t>
      </w:r>
      <w:r>
        <w:rPr>
          <w:rtl w:val="true"/>
        </w:rPr>
        <w:t xml:space="preserve">, </w:t>
      </w:r>
      <w:r>
        <w:rPr>
          <w:rtl w:val="true"/>
        </w:rPr>
        <w:t>שלוש דקירות במותן שמאל</w:t>
      </w:r>
      <w:r>
        <w:rPr>
          <w:rtl w:val="true"/>
        </w:rPr>
        <w:t xml:space="preserve">, </w:t>
      </w:r>
      <w:r>
        <w:rPr>
          <w:rtl w:val="true"/>
        </w:rPr>
        <w:t>בגב התחתון ובאמצע הגב</w:t>
      </w:r>
      <w:r>
        <w:rPr>
          <w:rtl w:val="true"/>
        </w:rPr>
        <w:t xml:space="preserve">. </w:t>
      </w:r>
      <w:r>
        <w:rPr>
          <w:rtl w:val="true"/>
        </w:rPr>
        <w:t>הנאשם ניסה להמשיך לדקור את המתלונן אך המתלונן אחז במוט ברזל שהיה במקום</w:t>
      </w:r>
      <w:r>
        <w:rPr>
          <w:rtl w:val="true"/>
        </w:rPr>
        <w:t xml:space="preserve">, </w:t>
      </w:r>
      <w:r>
        <w:rPr>
          <w:rtl w:val="true"/>
        </w:rPr>
        <w:t>והשליכו לעבר הנאשם</w:t>
      </w:r>
      <w:r>
        <w:rPr>
          <w:rtl w:val="true"/>
        </w:rPr>
        <w:t xml:space="preserve">, </w:t>
      </w:r>
      <w:r>
        <w:rPr>
          <w:rtl w:val="true"/>
        </w:rPr>
        <w:t>אשר איבד את שיווי משקלו ונפל</w:t>
      </w:r>
      <w:r>
        <w:rPr>
          <w:rtl w:val="true"/>
        </w:rPr>
        <w:t xml:space="preserve">. </w:t>
      </w:r>
      <w:r>
        <w:rPr>
          <w:rtl w:val="true"/>
        </w:rPr>
        <w:t>לאחר שהנאשם נפל</w:t>
      </w:r>
      <w:r>
        <w:rPr>
          <w:rtl w:val="true"/>
        </w:rPr>
        <w:t xml:space="preserve">, </w:t>
      </w:r>
      <w:r>
        <w:rPr>
          <w:rtl w:val="true"/>
        </w:rPr>
        <w:t>הצליח המתלונן לעמוד על רגליו ולברוח לעבר מכוניתו</w:t>
      </w:r>
      <w:r>
        <w:rPr>
          <w:rtl w:val="true"/>
        </w:rPr>
        <w:t xml:space="preserve">, </w:t>
      </w:r>
      <w:r>
        <w:rPr>
          <w:rtl w:val="true"/>
        </w:rPr>
        <w:t>כשהנאשם דולק אחריו</w:t>
      </w:r>
      <w:r>
        <w:rPr>
          <w:rtl w:val="true"/>
        </w:rPr>
        <w:t xml:space="preserve">, </w:t>
      </w:r>
      <w:r>
        <w:rPr>
          <w:rtl w:val="true"/>
        </w:rPr>
        <w:t>אך הנאשם לא הצליח להשיגו והמתלונן נסע מהמקום</w:t>
      </w:r>
      <w:r>
        <w:rPr>
          <w:rtl w:val="true"/>
        </w:rPr>
        <w:t xml:space="preserve">. </w:t>
      </w:r>
      <w:r>
        <w:rPr>
          <w:rtl w:val="true"/>
        </w:rPr>
        <w:t>המתלונן הצליח לנהוג עד למרכז מסחרי הנמצא כקילומטר וחצי מבית הנאשם</w:t>
      </w:r>
      <w:r>
        <w:rPr>
          <w:rtl w:val="true"/>
        </w:rPr>
        <w:t xml:space="preserve">, </w:t>
      </w:r>
      <w:r>
        <w:rPr>
          <w:rtl w:val="true"/>
        </w:rPr>
        <w:t>שם פגש בבן משפחתו</w:t>
      </w:r>
      <w:r>
        <w:rPr>
          <w:rtl w:val="true"/>
        </w:rPr>
        <w:t xml:space="preserve">, </w:t>
      </w:r>
      <w:r>
        <w:rPr>
          <w:rtl w:val="true"/>
        </w:rPr>
        <w:t>אשר לבקשתו</w:t>
      </w:r>
      <w:r>
        <w:rPr>
          <w:rtl w:val="true"/>
        </w:rPr>
        <w:t xml:space="preserve">, </w:t>
      </w:r>
      <w:r>
        <w:rPr>
          <w:rtl w:val="true"/>
        </w:rPr>
        <w:t>הסיע אותו לבית החולים פוריה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 ממעשי הנאשם</w:t>
      </w:r>
      <w:r>
        <w:rPr>
          <w:rtl w:val="true"/>
        </w:rPr>
        <w:t xml:space="preserve">, </w:t>
      </w:r>
      <w:r>
        <w:rPr>
          <w:rtl w:val="true"/>
        </w:rPr>
        <w:t>נגרמו למתלונן שלושה פצעי דקירה</w:t>
      </w:r>
      <w:r>
        <w:rPr>
          <w:rtl w:val="true"/>
        </w:rPr>
        <w:t xml:space="preserve">, </w:t>
      </w:r>
      <w:r>
        <w:rPr>
          <w:rtl w:val="true"/>
        </w:rPr>
        <w:t>חדירה לחלל החזה</w:t>
      </w:r>
      <w:r>
        <w:rPr>
          <w:rtl w:val="true"/>
        </w:rPr>
        <w:t xml:space="preserve">, </w:t>
      </w:r>
      <w:r>
        <w:rPr>
          <w:rtl w:val="true"/>
        </w:rPr>
        <w:t>חתך בטחול</w:t>
      </w:r>
      <w:r>
        <w:rPr>
          <w:rtl w:val="true"/>
        </w:rPr>
        <w:t xml:space="preserve">, </w:t>
      </w:r>
      <w:r>
        <w:rPr>
          <w:rtl w:val="true"/>
        </w:rPr>
        <w:t>נוזל חופשי בחלל הבטן והחזה</w:t>
      </w:r>
      <w:r>
        <w:rPr>
          <w:rtl w:val="true"/>
        </w:rPr>
        <w:t xml:space="preserve">, </w:t>
      </w:r>
      <w:r>
        <w:rPr>
          <w:rtl w:val="true"/>
        </w:rPr>
        <w:t xml:space="preserve">מספר פצעים ברקמות הרכות של הגב כשאחד מהם מכיל שומן רטרופיריטוניאלי וכן חזה גם </w:t>
      </w:r>
      <w:r>
        <w:rPr>
          <w:rtl w:val="true"/>
        </w:rPr>
        <w:t>(</w:t>
      </w:r>
      <w:r>
        <w:rPr>
          <w:rtl w:val="true"/>
        </w:rPr>
        <w:t>הימופניאומטרוקס</w:t>
      </w:r>
      <w:r>
        <w:rPr>
          <w:rtl w:val="true"/>
        </w:rPr>
        <w:t xml:space="preserve">) </w:t>
      </w:r>
      <w:r>
        <w:rPr>
          <w:rtl w:val="true"/>
        </w:rPr>
        <w:t>ממנו נוקזו כ</w:t>
      </w:r>
      <w:r>
        <w:rPr>
          <w:rtl w:val="true"/>
        </w:rPr>
        <w:t>-</w:t>
      </w:r>
      <w:r>
        <w:rPr/>
        <w:t>800</w:t>
      </w:r>
      <w:r>
        <w:rPr>
          <w:rtl w:val="true"/>
        </w:rPr>
        <w:t xml:space="preserve"> 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ק דם לאחר שהוכנס נקז לחזה משמאל</w:t>
      </w:r>
      <w:r>
        <w:rPr>
          <w:rtl w:val="true"/>
        </w:rPr>
        <w:t xml:space="preserve">. </w:t>
      </w:r>
      <w:r>
        <w:rPr>
          <w:rtl w:val="true"/>
        </w:rPr>
        <w:t>המתלונן אושפז וטופל בבית החולים פוריה</w:t>
      </w:r>
      <w:r>
        <w:rPr>
          <w:rtl w:val="true"/>
        </w:rPr>
        <w:t xml:space="preserve">, </w:t>
      </w:r>
      <w:r>
        <w:rPr>
          <w:rtl w:val="true"/>
        </w:rPr>
        <w:t>במחלקה לטיפול נמרץ נשימתי למשך ארבעה ימים ולאחר מכן הועבר למחלקה הכירורגית</w:t>
      </w:r>
      <w:r>
        <w:rPr>
          <w:rtl w:val="true"/>
        </w:rPr>
        <w:t xml:space="preserve">, </w:t>
      </w:r>
      <w:r>
        <w:rPr>
          <w:rtl w:val="true"/>
        </w:rPr>
        <w:t>ממנה שוחרר ב</w:t>
      </w:r>
      <w:r>
        <w:rPr>
          <w:rtl w:val="true"/>
        </w:rPr>
        <w:t>-</w:t>
      </w:r>
      <w:r>
        <w:rPr/>
        <w:t>20/8/09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 האמורים</w:t>
      </w:r>
      <w:r>
        <w:rPr>
          <w:rtl w:val="true"/>
        </w:rPr>
        <w:t xml:space="preserve">, </w:t>
      </w:r>
      <w:r>
        <w:rPr>
          <w:rtl w:val="true"/>
        </w:rPr>
        <w:t>חבל הנאשם במתלונן חבלה חמורה באמצעות סכין</w:t>
      </w:r>
      <w:r>
        <w:rPr>
          <w:rtl w:val="true"/>
        </w:rPr>
        <w:t xml:space="preserve">, </w:t>
      </w:r>
      <w:r>
        <w:rPr>
          <w:rtl w:val="true"/>
        </w:rPr>
        <w:t>שהנו נשק קר</w:t>
      </w:r>
      <w:r>
        <w:rPr>
          <w:rtl w:val="true"/>
        </w:rPr>
        <w:t xml:space="preserve">, </w:t>
      </w:r>
      <w:r>
        <w:rPr>
          <w:rtl w:val="true"/>
        </w:rPr>
        <w:t>החזיק נשק ללא היתר כדין</w:t>
      </w:r>
      <w:r>
        <w:rPr>
          <w:rtl w:val="true"/>
        </w:rPr>
        <w:t xml:space="preserve">, </w:t>
      </w:r>
      <w:r>
        <w:rPr>
          <w:rtl w:val="true"/>
        </w:rPr>
        <w:t xml:space="preserve">ואיים על המתלונן ועל אפרים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האישום הראשון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מספר שעות לאחר האירוע המתואר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3:40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11/8/09</w:t>
      </w:r>
      <w:r>
        <w:rPr>
          <w:rtl w:val="true"/>
        </w:rPr>
        <w:t xml:space="preserve">, </w:t>
      </w:r>
      <w:r>
        <w:rPr>
          <w:rtl w:val="true"/>
        </w:rPr>
        <w:t xml:space="preserve">התקשר הנאשם לאלמוג אליהו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אלמוג</w:t>
      </w:r>
      <w:r>
        <w:rPr>
          <w:rtl w:val="true"/>
        </w:rPr>
        <w:t xml:space="preserve">"), </w:t>
      </w:r>
      <w:r>
        <w:rPr>
          <w:rtl w:val="true"/>
        </w:rPr>
        <w:t>שהנו אחיינו של המתלונן הנזכר לעיל</w:t>
      </w:r>
      <w:r>
        <w:rPr>
          <w:rtl w:val="true"/>
        </w:rPr>
        <w:t xml:space="preserve">. </w:t>
      </w:r>
      <w:r>
        <w:rPr>
          <w:rtl w:val="true"/>
        </w:rPr>
        <w:t>הנאשם איים על אלמוג באומרו 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שהוא רוצה לרצוח את כל המשפחה של אלמוג וכן אמר לו</w:t>
      </w:r>
      <w:r>
        <w:rPr>
          <w:rtl w:val="true"/>
        </w:rPr>
        <w:t>: "</w:t>
      </w:r>
      <w:r>
        <w:rPr>
          <w:rtl w:val="true"/>
        </w:rPr>
        <w:t>איך אלי הצליח לברוח מהדקירות שלי אחרת הייתי הורג אותו ואני ניסיתי לדקור את אלי יותר משלוש דקירות אבל הוא ברח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בזמן אשפוזו של המתלונן בבית החולים פוריה</w:t>
      </w:r>
      <w:r>
        <w:rPr>
          <w:rtl w:val="true"/>
        </w:rPr>
        <w:t xml:space="preserve">, </w:t>
      </w:r>
      <w:r>
        <w:rPr>
          <w:rtl w:val="true"/>
        </w:rPr>
        <w:t>עקב האירוע לעיל</w:t>
      </w:r>
      <w:r>
        <w:rPr>
          <w:rtl w:val="true"/>
        </w:rPr>
        <w:t xml:space="preserve">, </w:t>
      </w:r>
      <w:r>
        <w:rPr>
          <w:rtl w:val="true"/>
        </w:rPr>
        <w:t>התקשר הנאשם פעמיים</w:t>
      </w:r>
      <w:r>
        <w:rPr>
          <w:rtl w:val="true"/>
        </w:rPr>
        <w:t xml:space="preserve">, </w:t>
      </w:r>
      <w:r>
        <w:rPr>
          <w:rtl w:val="true"/>
        </w:rPr>
        <w:t>במועדים שאינם ידועים</w:t>
      </w:r>
      <w:r>
        <w:rPr>
          <w:rtl w:val="true"/>
        </w:rPr>
        <w:t xml:space="preserve">, </w:t>
      </w:r>
      <w:r>
        <w:rPr>
          <w:rtl w:val="true"/>
        </w:rPr>
        <w:t>לטלפון הנייד של המתלונן ודרש ממנו לא להיות בקשר עם יעל</w:t>
      </w:r>
      <w:r>
        <w:rPr>
          <w:rtl w:val="true"/>
        </w:rPr>
        <w:t xml:space="preserve">. </w:t>
      </w:r>
      <w:r>
        <w:rPr>
          <w:rtl w:val="true"/>
        </w:rPr>
        <w:t>הנאשם איים על המתלונן באומרו 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: "</w:t>
      </w:r>
      <w:r>
        <w:rPr>
          <w:rtl w:val="true"/>
        </w:rPr>
        <w:t>איך זה להיות בבית חולים</w:t>
      </w:r>
      <w:r>
        <w:rPr>
          <w:rtl w:val="true"/>
        </w:rPr>
        <w:t xml:space="preserve">, </w:t>
      </w:r>
      <w:r>
        <w:rPr>
          <w:rtl w:val="true"/>
        </w:rPr>
        <w:t>טוב שזה נגמר ככה ואל תנסה אותי שוב</w:t>
      </w:r>
      <w:r>
        <w:rPr>
          <w:rtl w:val="true"/>
        </w:rPr>
        <w:t xml:space="preserve">". </w:t>
      </w:r>
      <w:r>
        <w:rPr>
          <w:rtl w:val="true"/>
        </w:rPr>
        <w:t>כן שאל הנאשם את המתלונן האם התלונן במשטרה וכשנענה שטרם הוגשה תלונה אמר הנאשם</w:t>
      </w:r>
      <w:r>
        <w:rPr>
          <w:rtl w:val="true"/>
        </w:rPr>
        <w:t>: "</w:t>
      </w:r>
      <w:r>
        <w:rPr>
          <w:rtl w:val="true"/>
        </w:rPr>
        <w:t>יופי</w:t>
      </w:r>
      <w:r>
        <w:rPr>
          <w:rtl w:val="true"/>
        </w:rPr>
        <w:t xml:space="preserve">, </w:t>
      </w:r>
      <w:r>
        <w:rPr>
          <w:rtl w:val="true"/>
        </w:rPr>
        <w:t>תמשיך ככה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12/8/09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13/8/09</w:t>
      </w:r>
      <w:r>
        <w:rPr>
          <w:rtl w:val="true"/>
        </w:rPr>
        <w:t xml:space="preserve">, </w:t>
      </w:r>
      <w:r>
        <w:rPr>
          <w:rtl w:val="true"/>
        </w:rPr>
        <w:t>במועד מדויק שאינו ידוע</w:t>
      </w:r>
      <w:r>
        <w:rPr>
          <w:rtl w:val="true"/>
        </w:rPr>
        <w:t xml:space="preserve">, </w:t>
      </w:r>
      <w:r>
        <w:rPr>
          <w:rtl w:val="true"/>
        </w:rPr>
        <w:t>התקשר הנאשם לאפרים ואיים עליו באומרו</w:t>
      </w:r>
      <w:r>
        <w:rPr>
          <w:rtl w:val="true"/>
        </w:rPr>
        <w:t>: "</w:t>
      </w:r>
      <w:r>
        <w:rPr>
          <w:rtl w:val="true"/>
        </w:rPr>
        <w:t>מה יא מניאק</w:t>
      </w:r>
      <w:r>
        <w:rPr>
          <w:rtl w:val="true"/>
        </w:rPr>
        <w:t xml:space="preserve">, </w:t>
      </w:r>
      <w:r>
        <w:rPr>
          <w:rtl w:val="true"/>
        </w:rPr>
        <w:t>אתה בדרך</w:t>
      </w:r>
      <w:r>
        <w:rPr>
          <w:rtl w:val="true"/>
        </w:rPr>
        <w:t xml:space="preserve">, </w:t>
      </w:r>
      <w:r>
        <w:rPr>
          <w:rtl w:val="true"/>
        </w:rPr>
        <w:t>אני הולך לקחת אותך עם אופנוע</w:t>
      </w:r>
      <w:r>
        <w:rPr>
          <w:rtl w:val="true"/>
        </w:rPr>
        <w:t xml:space="preserve">" </w:t>
      </w:r>
      <w:r>
        <w:rPr>
          <w:rtl w:val="true"/>
        </w:rPr>
        <w:t>וניתק את הטלפון</w:t>
      </w:r>
      <w:r>
        <w:rPr>
          <w:rtl w:val="true"/>
        </w:rPr>
        <w:t xml:space="preserve">. </w:t>
      </w:r>
      <w:r>
        <w:rPr>
          <w:rtl w:val="true"/>
        </w:rPr>
        <w:t>כשתי דקות לאחר השיחה האמורה</w:t>
      </w:r>
      <w:r>
        <w:rPr>
          <w:rtl w:val="true"/>
        </w:rPr>
        <w:t xml:space="preserve">, </w:t>
      </w:r>
      <w:r>
        <w:rPr>
          <w:rtl w:val="true"/>
        </w:rPr>
        <w:t>התקשר הנאשם לאפרים בשנית והוסיף ואיים עליו</w:t>
      </w:r>
      <w:r>
        <w:rPr>
          <w:rtl w:val="true"/>
        </w:rPr>
        <w:t>: "</w:t>
      </w:r>
      <w:r>
        <w:rPr>
          <w:rtl w:val="true"/>
        </w:rPr>
        <w:t>גם אחיך מנשה בדרך</w:t>
      </w:r>
      <w:r>
        <w:rPr>
          <w:rtl w:val="true"/>
        </w:rPr>
        <w:t xml:space="preserve">, </w:t>
      </w:r>
      <w:r>
        <w:rPr>
          <w:rtl w:val="true"/>
        </w:rPr>
        <w:t>אני לוקח אותו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 האמורים לעיל איים הנאשם</w:t>
      </w:r>
      <w:r>
        <w:rPr>
          <w:rtl w:val="true"/>
        </w:rPr>
        <w:t xml:space="preserve">, </w:t>
      </w:r>
      <w:r>
        <w:rPr>
          <w:rtl w:val="true"/>
        </w:rPr>
        <w:t>במספר הזדמנויות על המתלונן</w:t>
      </w:r>
      <w:r>
        <w:rPr>
          <w:rtl w:val="true"/>
        </w:rPr>
        <w:t xml:space="preserve">, </w:t>
      </w:r>
      <w:r>
        <w:rPr>
          <w:rtl w:val="true"/>
        </w:rPr>
        <w:t>על אפרים ועל אלמוג</w:t>
      </w:r>
      <w:r>
        <w:rPr>
          <w:rtl w:val="true"/>
        </w:rPr>
        <w:t xml:space="preserve">. </w:t>
      </w:r>
      <w:r>
        <w:rPr>
          <w:rtl w:val="true"/>
        </w:rPr>
        <w:t xml:space="preserve">כן שיבש הנאשם מהלכי משפט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האישום השני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 הטיעון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להסדר הטיעון שבין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עתרה המאשימה להטלת 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ועונשים נלווים</w:t>
      </w:r>
      <w:r>
        <w:rPr>
          <w:rtl w:val="true"/>
        </w:rPr>
        <w:t xml:space="preserve">, </w:t>
      </w:r>
      <w:r>
        <w:rPr>
          <w:rtl w:val="true"/>
        </w:rPr>
        <w:t>על הנאשם</w:t>
      </w:r>
      <w:r>
        <w:rPr>
          <w:rtl w:val="true"/>
        </w:rPr>
        <w:t xml:space="preserve">, </w:t>
      </w:r>
      <w:r>
        <w:rPr>
          <w:rtl w:val="true"/>
        </w:rPr>
        <w:t>ואילו הנאשם טען באופן חופשי</w:t>
      </w:r>
      <w:r>
        <w:rPr>
          <w:rtl w:val="true"/>
        </w:rPr>
        <w:t xml:space="preserve">, </w:t>
      </w:r>
      <w:r>
        <w:rPr>
          <w:rtl w:val="true"/>
        </w:rPr>
        <w:t>כאשר הובהר לו כי לבית המשפט הסמכות לגזור את עונשו על פי שיקול דעתו המלא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במישור העובדתי הוסכם בין הצדדים</w:t>
      </w:r>
      <w:r>
        <w:rPr>
          <w:rtl w:val="true"/>
        </w:rPr>
        <w:t xml:space="preserve">,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כי עובר לאירועים נשוא כתב האישום ובסמוך להם היה הנאשם מאוים על ידי המתלונן ואחיו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הגישה לבית המשפט</w:t>
      </w:r>
      <w:r>
        <w:rPr>
          <w:rtl w:val="true"/>
        </w:rPr>
        <w:t xml:space="preserve">, </w:t>
      </w:r>
      <w:r>
        <w:rPr>
          <w:rtl w:val="true"/>
        </w:rPr>
        <w:t>בפתח הטיעונים לעונש</w:t>
      </w:r>
      <w:r>
        <w:rPr>
          <w:rtl w:val="true"/>
        </w:rPr>
        <w:t xml:space="preserve">, </w:t>
      </w:r>
      <w:r>
        <w:rPr>
          <w:rtl w:val="true"/>
        </w:rPr>
        <w:t>את גיליון ההרשעות הקודמות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על פיו הורשע הנאשם החל משנת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בהיותו קטין</w:t>
      </w:r>
      <w:r>
        <w:rPr>
          <w:rtl w:val="true"/>
        </w:rPr>
        <w:t xml:space="preserve">, </w:t>
      </w:r>
      <w:r>
        <w:rPr>
          <w:rtl w:val="true"/>
        </w:rPr>
        <w:t xml:space="preserve">ועד לשנת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בהיותו בגיר</w:t>
      </w:r>
      <w:r>
        <w:rPr>
          <w:rtl w:val="true"/>
        </w:rPr>
        <w:t xml:space="preserve">, </w:t>
      </w:r>
      <w:r>
        <w:rPr>
          <w:rtl w:val="true"/>
        </w:rPr>
        <w:t>בשורה של אישומים</w:t>
      </w:r>
      <w:r>
        <w:rPr>
          <w:rtl w:val="true"/>
        </w:rPr>
        <w:t xml:space="preserve">, </w:t>
      </w:r>
      <w:r>
        <w:rPr>
          <w:rtl w:val="true"/>
        </w:rPr>
        <w:t>בעבירות רכוש</w:t>
      </w:r>
      <w:r>
        <w:rPr>
          <w:rtl w:val="true"/>
        </w:rPr>
        <w:t xml:space="preserve">, </w:t>
      </w:r>
      <w:r>
        <w:rPr>
          <w:rtl w:val="true"/>
        </w:rPr>
        <w:t>בעבירות איומים ובעבירות אלימות</w:t>
      </w:r>
      <w:r>
        <w:rPr>
          <w:rtl w:val="true"/>
        </w:rPr>
        <w:t xml:space="preserve">, </w:t>
      </w:r>
      <w:r>
        <w:rPr>
          <w:rtl w:val="true"/>
        </w:rPr>
        <w:t>וכן בעבירות של החזקת סכין</w:t>
      </w:r>
      <w:r>
        <w:rPr>
          <w:rtl w:val="true"/>
        </w:rPr>
        <w:t xml:space="preserve">. </w:t>
      </w:r>
      <w:r>
        <w:rPr>
          <w:rtl w:val="true"/>
        </w:rPr>
        <w:t>בגין הרשעותיו הוטלו על הנאשם מספר עונשי מאסר בפועל</w:t>
      </w:r>
      <w:r>
        <w:rPr>
          <w:rtl w:val="true"/>
        </w:rPr>
        <w:t xml:space="preserve">, </w:t>
      </w:r>
      <w:r>
        <w:rPr>
          <w:rtl w:val="true"/>
        </w:rPr>
        <w:t>וכן עונשי מאסר מותנה ועונשים 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 הגישה ב</w:t>
      </w:r>
      <w:r>
        <w:rPr>
          <w:rtl w:val="true"/>
        </w:rPr>
        <w:t>"</w:t>
      </w:r>
      <w:r>
        <w:rPr>
          <w:rtl w:val="true"/>
        </w:rPr>
        <w:t xml:space="preserve">כ המאשימה העתק מכתב אישום שהוגש לבית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פ </w:t>
      </w:r>
      <w:r>
        <w:rPr/>
        <w:t>1059/06</w:t>
      </w:r>
      <w:r>
        <w:rPr>
          <w:rtl w:val="true"/>
        </w:rPr>
        <w:t xml:space="preserve">) </w:t>
      </w:r>
      <w:r>
        <w:rPr>
          <w:rtl w:val="true"/>
        </w:rPr>
        <w:t>ומגזר דינו של כבוד השופט האשם ח</w:t>
      </w:r>
      <w:r>
        <w:rPr>
          <w:rtl w:val="true"/>
        </w:rPr>
        <w:t>'</w:t>
      </w:r>
      <w:r>
        <w:rPr>
          <w:rtl w:val="true"/>
        </w:rPr>
        <w:t xml:space="preserve">טיב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25/2/2007</w:t>
      </w:r>
      <w:r>
        <w:rPr>
          <w:rtl w:val="true"/>
        </w:rPr>
        <w:t xml:space="preserve">), </w:t>
      </w:r>
      <w:r>
        <w:rPr>
          <w:rtl w:val="true"/>
        </w:rPr>
        <w:t>על פיו הורשע הנאשם בעבירה של איומים</w:t>
      </w:r>
      <w:r>
        <w:rPr>
          <w:rtl w:val="true"/>
        </w:rPr>
        <w:t xml:space="preserve">, </w:t>
      </w:r>
      <w:r>
        <w:rPr>
          <w:rtl w:val="true"/>
        </w:rPr>
        <w:t>בעבירה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ובעבירה של החזקת סכין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מהם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 xml:space="preserve">חודשים לריצוי בפועל והיתרה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שהנאשם  לא יעבור תוך תקופת התנאי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>ויורשע בגינה</w:t>
      </w:r>
      <w:r>
        <w:rPr>
          <w:rtl w:val="true"/>
        </w:rPr>
        <w:t xml:space="preserve">, </w:t>
      </w:r>
      <w:r>
        <w:rPr>
          <w:rtl w:val="true"/>
        </w:rPr>
        <w:t>בין אם בתקופת התנאי ובין לאחריה</w:t>
      </w:r>
      <w:r>
        <w:rPr>
          <w:rtl w:val="true"/>
        </w:rPr>
        <w:t xml:space="preserve">. </w:t>
      </w:r>
      <w:r>
        <w:rPr>
          <w:rtl w:val="true"/>
        </w:rPr>
        <w:t xml:space="preserve">כן הופעל עונש 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שנגזרו על הנאשם ביום </w:t>
      </w:r>
      <w:r>
        <w:rPr/>
        <w:t>14/7/04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4173/03</w:t>
        </w:r>
      </w:hyperlink>
      <w:r>
        <w:rPr>
          <w:rtl w:val="true"/>
        </w:rPr>
        <w:t xml:space="preserve"> (</w:t>
      </w:r>
      <w:r>
        <w:rPr>
          <w:rtl w:val="true"/>
        </w:rPr>
        <w:t>בבית משפט השלום טבריה</w:t>
      </w:r>
      <w:r>
        <w:rPr>
          <w:rtl w:val="true"/>
        </w:rPr>
        <w:t xml:space="preserve">), </w:t>
      </w:r>
      <w:r>
        <w:rPr>
          <w:rtl w:val="true"/>
        </w:rPr>
        <w:t>באופן חופף למאסר שנגזר עליו</w:t>
      </w:r>
      <w:r>
        <w:rPr>
          <w:rtl w:val="true"/>
        </w:rPr>
        <w:t xml:space="preserve">. </w:t>
      </w:r>
      <w:r>
        <w:rPr>
          <w:rtl w:val="true"/>
        </w:rPr>
        <w:t>בנוסף חויב הנאשם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לשלם למתלונן פיצוי בסך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הוגש לעיוננו כתב אישום שהוגש לבית משפט השלום בנצרת </w:t>
      </w:r>
      <w:r>
        <w:rPr>
          <w:rtl w:val="true"/>
        </w:rPr>
        <w:t>(</w:t>
      </w:r>
      <w:r>
        <w:rPr>
          <w:rtl w:val="true"/>
        </w:rPr>
        <w:t xml:space="preserve">פ </w:t>
      </w:r>
      <w:r>
        <w:rPr/>
        <w:t>2359/06</w:t>
      </w:r>
      <w:r>
        <w:rPr>
          <w:rtl w:val="true"/>
        </w:rPr>
        <w:t xml:space="preserve">), </w:t>
      </w:r>
      <w:r>
        <w:rPr>
          <w:rtl w:val="true"/>
        </w:rPr>
        <w:t>הכרעת דין וגזר דין מאת אב בית הדין</w:t>
      </w:r>
      <w:r>
        <w:rPr>
          <w:rtl w:val="true"/>
        </w:rPr>
        <w:t xml:space="preserve">, </w:t>
      </w:r>
      <w:r>
        <w:rPr>
          <w:rtl w:val="true"/>
        </w:rPr>
        <w:t xml:space="preserve">סגן הנשיא כתילי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5/3/2007</w:t>
      </w:r>
      <w:r>
        <w:rPr>
          <w:rtl w:val="true"/>
        </w:rPr>
        <w:t xml:space="preserve">), </w:t>
      </w:r>
      <w:r>
        <w:rPr>
          <w:rtl w:val="true"/>
        </w:rPr>
        <w:t>לפיהם הורשע הנאשם בעבירה של איומים ובעבירה של העלבת עובד ציבור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בחופף לכל עונש מאסר שהנאשם מרצה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שהנאשם לא יעבור ויורשע בגין עבירה מן העבירות בהן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 הוגשו לעיוננו פרוטוקול מישיבת ועדת השחרורים בבית הסוהר צלמון</w:t>
      </w:r>
      <w:r>
        <w:rPr>
          <w:rtl w:val="true"/>
        </w:rPr>
        <w:t xml:space="preserve">, </w:t>
      </w:r>
      <w:r>
        <w:rPr>
          <w:rtl w:val="true"/>
        </w:rPr>
        <w:t>והעתק החלטת הועדה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15/5/2008</w:t>
      </w:r>
      <w:r>
        <w:rPr>
          <w:rtl w:val="true"/>
        </w:rPr>
        <w:t xml:space="preserve">, </w:t>
      </w:r>
      <w:r>
        <w:rPr>
          <w:rtl w:val="true"/>
        </w:rPr>
        <w:t>אשר דחתה את בקשתו של הנאשם לשחרור מוקדם מן המאסר שבו היה נתון אז</w:t>
      </w:r>
      <w:r>
        <w:rPr>
          <w:rtl w:val="true"/>
        </w:rPr>
        <w:t xml:space="preserve">, </w:t>
      </w:r>
      <w:r>
        <w:rPr>
          <w:rtl w:val="true"/>
        </w:rPr>
        <w:t>והעתק מפסק דין בעתירה שהגיש הנאשם כנגד החלטת ועדת השחרורים לבית המשפט לעניינים מינהליים בנצרת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10/6/08</w:t>
      </w:r>
      <w:r>
        <w:rPr>
          <w:rtl w:val="true"/>
        </w:rPr>
        <w:t xml:space="preserve">, </w:t>
      </w:r>
      <w:r>
        <w:rPr>
          <w:rtl w:val="true"/>
        </w:rPr>
        <w:t>אשר דחה את העתירה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 הנאשם הוגשה חוות דעת של מומחה לזיהוי קול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15/8/2010</w:t>
      </w:r>
      <w:r>
        <w:rPr>
          <w:rtl w:val="true"/>
        </w:rPr>
        <w:t xml:space="preserve">, </w:t>
      </w:r>
      <w:r>
        <w:rPr>
          <w:rtl w:val="true"/>
        </w:rPr>
        <w:t>בה נדון להלן בפרק נפרד</w:t>
      </w:r>
      <w:r>
        <w:rPr>
          <w:rtl w:val="true"/>
        </w:rPr>
        <w:t xml:space="preserve">, </w:t>
      </w:r>
      <w:r>
        <w:rPr>
          <w:rtl w:val="true"/>
        </w:rPr>
        <w:t>בו יפורטו טיעוני הצדדים לגבי חוות הדעת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חומרת מעשי הנאשם</w:t>
      </w:r>
      <w:r>
        <w:rPr>
          <w:rtl w:val="true"/>
        </w:rPr>
        <w:t xml:space="preserve">, </w:t>
      </w:r>
      <w:r>
        <w:rPr>
          <w:rtl w:val="true"/>
        </w:rPr>
        <w:t>אשר התבטאה בין היתר בתכנון מוקדם של המעשים</w:t>
      </w:r>
      <w:r>
        <w:rPr>
          <w:rtl w:val="true"/>
        </w:rPr>
        <w:t xml:space="preserve">, </w:t>
      </w:r>
      <w:r>
        <w:rPr>
          <w:rtl w:val="true"/>
        </w:rPr>
        <w:t>בהצטיידות מראש במוט עץ ובחפץ חד</w:t>
      </w:r>
      <w:r>
        <w:rPr>
          <w:rtl w:val="true"/>
        </w:rPr>
        <w:t xml:space="preserve">, </w:t>
      </w:r>
      <w:r>
        <w:rPr>
          <w:rtl w:val="true"/>
        </w:rPr>
        <w:t>ובהטעיית המתלונן להגיע לבית הנאשם בתואנת שווא</w:t>
      </w:r>
      <w:r>
        <w:rPr>
          <w:rtl w:val="true"/>
        </w:rPr>
        <w:t xml:space="preserve">, </w:t>
      </w:r>
      <w:r>
        <w:rPr>
          <w:rtl w:val="true"/>
        </w:rPr>
        <w:t>מחייבת להטיל עליו ענישה משמעותית ומרתיעה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 להביא בחשבון את התוצאה החמורה של האירוע</w:t>
      </w:r>
      <w:r>
        <w:rPr>
          <w:rtl w:val="true"/>
        </w:rPr>
        <w:t xml:space="preserve">, </w:t>
      </w:r>
      <w:r>
        <w:rPr>
          <w:rtl w:val="true"/>
        </w:rPr>
        <w:t>שכן המתלונן נפגע קשות והיה נתון בסכנת חיים</w:t>
      </w:r>
      <w:r>
        <w:rPr>
          <w:rtl w:val="true"/>
        </w:rPr>
        <w:t xml:space="preserve">, </w:t>
      </w:r>
      <w:r>
        <w:rPr>
          <w:rtl w:val="true"/>
        </w:rPr>
        <w:t>וכן את העובדה שהנאשם איים על המתלונן</w:t>
      </w:r>
      <w:r>
        <w:rPr>
          <w:rtl w:val="true"/>
        </w:rPr>
        <w:t xml:space="preserve">, </w:t>
      </w:r>
      <w:r>
        <w:rPr>
          <w:rtl w:val="true"/>
        </w:rPr>
        <w:t>אחיו ומשפחתם בטרם האירוע</w:t>
      </w:r>
      <w:r>
        <w:rPr>
          <w:rtl w:val="true"/>
        </w:rPr>
        <w:t xml:space="preserve">, </w:t>
      </w:r>
      <w:r>
        <w:rPr>
          <w:rtl w:val="true"/>
        </w:rPr>
        <w:t>ואף לאחריו</w:t>
      </w:r>
      <w:r>
        <w:rPr>
          <w:rtl w:val="true"/>
        </w:rPr>
        <w:t xml:space="preserve">. </w:t>
      </w:r>
      <w:r>
        <w:rPr>
          <w:rtl w:val="true"/>
        </w:rPr>
        <w:t>לכך יש לצרף את הרשעתו של הנאשם בעבירה של החזקת אקדח ללא רישיון</w:t>
      </w:r>
      <w:r>
        <w:rPr>
          <w:rtl w:val="true"/>
        </w:rPr>
        <w:t xml:space="preserve">, </w:t>
      </w:r>
      <w:r>
        <w:rPr>
          <w:rtl w:val="true"/>
        </w:rPr>
        <w:t xml:space="preserve">עבירה שהחוק קבע בצידה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המצדיקה כשלעצמה ענישה מחמירה</w:t>
      </w:r>
      <w:r>
        <w:rPr>
          <w:rtl w:val="true"/>
        </w:rPr>
        <w:t xml:space="preserve">, </w:t>
      </w:r>
      <w:r>
        <w:rPr>
          <w:rtl w:val="true"/>
        </w:rPr>
        <w:t>ומהווה נסיבה מחמירה לעניין עבירת האלימות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התפשטות נגע האלימות בחברה</w:t>
      </w:r>
      <w:r>
        <w:rPr>
          <w:rtl w:val="true"/>
        </w:rPr>
        <w:t xml:space="preserve">, </w:t>
      </w:r>
      <w:r>
        <w:rPr>
          <w:rtl w:val="true"/>
        </w:rPr>
        <w:t>והמסר הנשמע מאת בית המשפט העליון בדבר הצורך בענישה מחמירה ומרתיעה במקרים של אלימות קשה ואכזרית</w:t>
      </w:r>
      <w:r>
        <w:rPr>
          <w:rtl w:val="true"/>
        </w:rPr>
        <w:t xml:space="preserve">, </w:t>
      </w:r>
      <w:r>
        <w:rPr>
          <w:rtl w:val="true"/>
        </w:rPr>
        <w:t>מחייבים אף הם הטלת עונש מאסר ממושך על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 עוד כי יש להביא בחשבון את עברו הפלילי המכביד של הנאשם</w:t>
      </w:r>
      <w:r>
        <w:rPr>
          <w:rtl w:val="true"/>
        </w:rPr>
        <w:t xml:space="preserve">, </w:t>
      </w:r>
      <w:r>
        <w:rPr>
          <w:rtl w:val="true"/>
        </w:rPr>
        <w:t>ואת העובדה שעונשי המאסר שהוטלו עליו עד כה</w:t>
      </w:r>
      <w:r>
        <w:rPr>
          <w:rtl w:val="true"/>
        </w:rPr>
        <w:t xml:space="preserve">, </w:t>
      </w:r>
      <w:r>
        <w:rPr>
          <w:rtl w:val="true"/>
        </w:rPr>
        <w:t>בגין עבירות קודמות</w:t>
      </w:r>
      <w:r>
        <w:rPr>
          <w:rtl w:val="true"/>
        </w:rPr>
        <w:t xml:space="preserve">, </w:t>
      </w:r>
      <w:r>
        <w:rPr>
          <w:rtl w:val="true"/>
        </w:rPr>
        <w:t>לא הרתיעו אותו מלשוב ולבצע עבירות אלימות</w:t>
      </w:r>
      <w:r>
        <w:rPr>
          <w:rtl w:val="true"/>
        </w:rPr>
        <w:t xml:space="preserve">. </w:t>
      </w:r>
      <w:r>
        <w:rPr>
          <w:rtl w:val="true"/>
        </w:rPr>
        <w:t>הודאת הנאשם בשלב מאוחר של ההליך</w:t>
      </w:r>
      <w:r>
        <w:rPr>
          <w:rtl w:val="true"/>
        </w:rPr>
        <w:t xml:space="preserve">, </w:t>
      </w:r>
      <w:r>
        <w:rPr>
          <w:rtl w:val="true"/>
        </w:rPr>
        <w:t>לאחר שמיעת כל עדי התביעה ורוב עדי ההגנה</w:t>
      </w:r>
      <w:r>
        <w:rPr>
          <w:rtl w:val="true"/>
        </w:rPr>
        <w:t xml:space="preserve">, </w:t>
      </w:r>
      <w:r>
        <w:rPr>
          <w:rtl w:val="true"/>
        </w:rPr>
        <w:t>לא תרמה לחיסכון ניכר בזמנו של בית המשפט</w:t>
      </w:r>
      <w:r>
        <w:rPr>
          <w:rtl w:val="true"/>
        </w:rPr>
        <w:t xml:space="preserve">, </w:t>
      </w:r>
      <w:r>
        <w:rPr>
          <w:rtl w:val="true"/>
        </w:rPr>
        <w:t>ולפיכך אין בה כדי לסייע להקלה בעונש הראוי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עתרה המאשימה להטלת 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להפעלת עונשי המאסר המותנים שהוטלו על הנאשם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מחוזי נצרת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1059/06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שלום טבריה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2359/06</w:t>
      </w:r>
      <w:r>
        <w:rPr>
          <w:rtl w:val="true"/>
        </w:rPr>
        <w:t xml:space="preserve">, </w:t>
      </w:r>
      <w:r>
        <w:rPr>
          <w:rtl w:val="true"/>
        </w:rPr>
        <w:t>להטלת עונשי מאסר מותנים בגין כל העבירות בהן הורשע</w:t>
      </w:r>
      <w:r>
        <w:rPr>
          <w:rtl w:val="true"/>
        </w:rPr>
        <w:t xml:space="preserve">, </w:t>
      </w:r>
      <w:r>
        <w:rPr>
          <w:rtl w:val="true"/>
        </w:rPr>
        <w:t>להטלת קנס ולחיובו של הנאשם לשלם למתלונן פיצויים</w:t>
      </w:r>
      <w:r>
        <w:rPr>
          <w:rtl w:val="true"/>
        </w:rPr>
        <w:t xml:space="preserve">. </w:t>
      </w:r>
      <w:r>
        <w:rPr>
          <w:rtl w:val="true"/>
        </w:rPr>
        <w:t>לעניין זה ציין ב</w:t>
      </w:r>
      <w:r>
        <w:rPr>
          <w:rtl w:val="true"/>
        </w:rPr>
        <w:t>"</w:t>
      </w:r>
      <w:r>
        <w:rPr>
          <w:rtl w:val="true"/>
        </w:rPr>
        <w:t>כ המאשימה כי חרף בקשתו להפעלת העונשים המותנים הרי שאין הוא עותר לכך שאלו ירוצו במצטבר לעונש המאסר נשוא 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הנאשם יש להתחשב בכך שמעשיו באו על רקע איומים מצד המתלונן ואחיו כלפיו</w:t>
      </w:r>
      <w:r>
        <w:rPr>
          <w:rtl w:val="true"/>
        </w:rPr>
        <w:t xml:space="preserve">, </w:t>
      </w:r>
      <w:r>
        <w:rPr>
          <w:rtl w:val="true"/>
        </w:rPr>
        <w:t>כנסיבה משמעותית להקלה בעונשו</w:t>
      </w:r>
      <w:r>
        <w:rPr>
          <w:rtl w:val="true"/>
        </w:rPr>
        <w:t xml:space="preserve">. </w:t>
      </w:r>
      <w:r>
        <w:rPr>
          <w:rtl w:val="true"/>
        </w:rPr>
        <w:t>כן יש להביא בחשבון את הפער בין כתב האישום המקורי ובין כתב האישום לאחר תיקונו</w:t>
      </w:r>
      <w:r>
        <w:rPr>
          <w:rtl w:val="true"/>
        </w:rPr>
        <w:t xml:space="preserve">, </w:t>
      </w:r>
      <w:r>
        <w:rPr>
          <w:rtl w:val="true"/>
        </w:rPr>
        <w:t>בהתאם להסדר הטיעון</w:t>
      </w:r>
      <w:r>
        <w:rPr>
          <w:rtl w:val="true"/>
        </w:rPr>
        <w:t xml:space="preserve">, </w:t>
      </w:r>
      <w:r>
        <w:rPr>
          <w:rtl w:val="true"/>
        </w:rPr>
        <w:t>מבחינת החומרה הפחותה של העבירות הכלולות בו לאחר התיקון</w:t>
      </w:r>
      <w:r>
        <w:rPr>
          <w:rtl w:val="true"/>
        </w:rPr>
        <w:t xml:space="preserve">. </w:t>
      </w:r>
      <w:r>
        <w:rPr>
          <w:rtl w:val="true"/>
        </w:rPr>
        <w:t>כן יש להביא בחשבון את הודאת הנאשם</w:t>
      </w:r>
      <w:r>
        <w:rPr>
          <w:rtl w:val="true"/>
        </w:rPr>
        <w:t xml:space="preserve">, </w:t>
      </w:r>
      <w:r>
        <w:rPr>
          <w:rtl w:val="true"/>
        </w:rPr>
        <w:t>ואת היותו במעצר מעל שנה</w:t>
      </w:r>
      <w:r>
        <w:rPr>
          <w:rtl w:val="true"/>
        </w:rPr>
        <w:t xml:space="preserve">. </w:t>
      </w:r>
      <w:r>
        <w:rPr>
          <w:rtl w:val="true"/>
        </w:rPr>
        <w:t>לדברי הנאשם</w:t>
      </w:r>
      <w:r>
        <w:rPr>
          <w:rtl w:val="true"/>
        </w:rPr>
        <w:t xml:space="preserve">, </w:t>
      </w:r>
      <w:r>
        <w:rPr>
          <w:rtl w:val="true"/>
        </w:rPr>
        <w:t>מגיעה לו הזדמנות אחרונה לתקן את דרכיו ולשוב למסלול חיים 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 בית המשפט</w:t>
      </w:r>
      <w:r>
        <w:rPr>
          <w:rtl w:val="true"/>
        </w:rPr>
        <w:t xml:space="preserve">, </w:t>
      </w:r>
      <w:r>
        <w:rPr>
          <w:rtl w:val="true"/>
        </w:rPr>
        <w:t>הביע הנאשם חרטה על המעשים</w:t>
      </w:r>
      <w:r>
        <w:rPr>
          <w:rtl w:val="true"/>
        </w:rPr>
        <w:t xml:space="preserve">, </w:t>
      </w:r>
      <w:r>
        <w:rPr>
          <w:rtl w:val="true"/>
        </w:rPr>
        <w:t>סיפר על ניסיונותיו לנהל חיים נורמטיביים</w:t>
      </w:r>
      <w:r>
        <w:rPr>
          <w:rtl w:val="true"/>
        </w:rPr>
        <w:t xml:space="preserve">, </w:t>
      </w:r>
      <w:r>
        <w:rPr>
          <w:rtl w:val="true"/>
        </w:rPr>
        <w:t>וביקש את התחשבות בית המשפט בו ובגילו הצעיר</w:t>
      </w:r>
      <w:r>
        <w:rPr>
          <w:rtl w:val="true"/>
        </w:rPr>
        <w:t xml:space="preserve">; </w:t>
      </w:r>
      <w:r>
        <w:rPr>
          <w:rtl w:val="true"/>
        </w:rPr>
        <w:t>עוד טען כי מאז שוחרר ממאסרו האחרון ומזה כשנה</w:t>
      </w:r>
      <w:r>
        <w:rPr>
          <w:rtl w:val="true"/>
        </w:rPr>
        <w:t xml:space="preserve">, </w:t>
      </w:r>
      <w:r>
        <w:rPr>
          <w:rtl w:val="true"/>
        </w:rPr>
        <w:t>הוא עובד באופן מסודר</w:t>
      </w:r>
      <w:r>
        <w:rPr>
          <w:rtl w:val="true"/>
        </w:rPr>
        <w:t xml:space="preserve">, </w:t>
      </w:r>
      <w:r>
        <w:rPr>
          <w:rtl w:val="true"/>
        </w:rPr>
        <w:t>תומך במשפחתו</w:t>
      </w:r>
      <w:r>
        <w:rPr>
          <w:rtl w:val="true"/>
        </w:rPr>
        <w:t xml:space="preserve">, </w:t>
      </w:r>
      <w:r>
        <w:rPr>
          <w:rtl w:val="true"/>
        </w:rPr>
        <w:t>והתנתק ממעגל הפשע</w:t>
      </w:r>
      <w:r>
        <w:rPr>
          <w:rtl w:val="true"/>
        </w:rPr>
        <w:t xml:space="preserve">, </w:t>
      </w:r>
      <w:r>
        <w:rPr>
          <w:rtl w:val="true"/>
        </w:rPr>
        <w:t>עד למעידתו זו האחרונה</w:t>
      </w:r>
      <w:r>
        <w:rPr>
          <w:rtl w:val="true"/>
        </w:rPr>
        <w:t xml:space="preserve">. </w:t>
      </w:r>
      <w:r>
        <w:rPr>
          <w:rtl w:val="true"/>
        </w:rPr>
        <w:t>כן ציין הנאשם כי אמו נפטרה בעת היותו במאסר</w:t>
      </w:r>
      <w:r>
        <w:rPr>
          <w:rtl w:val="true"/>
        </w:rPr>
        <w:t xml:space="preserve">, </w:t>
      </w:r>
      <w:r>
        <w:rPr>
          <w:rtl w:val="true"/>
        </w:rPr>
        <w:t>וכי הוא תומך באביו המבוגר החי בגפו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 דעת המומחה לזיהוי קול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הגיש חוות דעת מטעמו</w:t>
      </w:r>
      <w:r>
        <w:rPr>
          <w:rtl w:val="true"/>
        </w:rPr>
        <w:t xml:space="preserve">, </w:t>
      </w:r>
      <w:r>
        <w:rPr>
          <w:rtl w:val="true"/>
        </w:rPr>
        <w:t>הנוגעת לזיהוי קולות הדוברים בארבע שיחות מוקלטות</w:t>
      </w:r>
      <w:r>
        <w:rPr>
          <w:rtl w:val="true"/>
        </w:rPr>
        <w:t xml:space="preserve">. </w:t>
      </w:r>
      <w:r>
        <w:rPr>
          <w:rtl w:val="true"/>
        </w:rPr>
        <w:t>בהתאם לאמור בחוות הדעת</w:t>
      </w:r>
      <w:r>
        <w:rPr>
          <w:rtl w:val="true"/>
        </w:rPr>
        <w:t xml:space="preserve">, </w:t>
      </w:r>
      <w:r>
        <w:rPr>
          <w:rtl w:val="true"/>
        </w:rPr>
        <w:t>המומחה קיבל לבדיקתו טלפון סלולארי</w:t>
      </w:r>
      <w:r>
        <w:rPr>
          <w:rtl w:val="true"/>
        </w:rPr>
        <w:t xml:space="preserve">, </w:t>
      </w:r>
      <w:r>
        <w:rPr>
          <w:rtl w:val="true"/>
        </w:rPr>
        <w:t xml:space="preserve">תמלולי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הקלטות</w:t>
      </w:r>
      <w:r>
        <w:rPr>
          <w:rtl w:val="true"/>
        </w:rPr>
        <w:t xml:space="preserve">, </w:t>
      </w:r>
      <w:r>
        <w:rPr>
          <w:rtl w:val="true"/>
        </w:rPr>
        <w:t xml:space="preserve">ודיסק המכיל את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ההקלטות שהועברו כפי שנמסר לו על ידי חברת </w:t>
      </w:r>
      <w:r>
        <w:rPr>
          <w:rtl w:val="true"/>
        </w:rPr>
        <w:t>"</w:t>
      </w:r>
      <w:r>
        <w:rPr>
          <w:rtl w:val="true"/>
        </w:rPr>
        <w:t>איגמי</w:t>
      </w:r>
      <w:r>
        <w:rPr>
          <w:rtl w:val="true"/>
        </w:rPr>
        <w:t xml:space="preserve">" </w:t>
      </w:r>
      <w:r>
        <w:rPr>
          <w:rtl w:val="true"/>
        </w:rPr>
        <w:t>מטעם הנאשם</w:t>
      </w:r>
      <w:r>
        <w:rPr>
          <w:rtl w:val="true"/>
        </w:rPr>
        <w:t xml:space="preserve">. </w:t>
      </w:r>
      <w:r>
        <w:rPr>
          <w:rtl w:val="true"/>
        </w:rPr>
        <w:t>הקלטה רביעית נמסרה למומחה ישירות מטלפון סלולארי</w:t>
      </w:r>
      <w:r>
        <w:rPr>
          <w:rtl w:val="true"/>
        </w:rPr>
        <w:t xml:space="preserve">, </w:t>
      </w:r>
      <w:r>
        <w:rPr>
          <w:rtl w:val="true"/>
        </w:rPr>
        <w:t>מטעם הנאשם</w:t>
      </w:r>
      <w:r>
        <w:rPr>
          <w:rtl w:val="true"/>
        </w:rPr>
        <w:t xml:space="preserve">. </w:t>
      </w:r>
      <w:r>
        <w:rPr>
          <w:rtl w:val="true"/>
        </w:rPr>
        <w:t>המומחה נטל דגימות קול מן המתלונן ואחיו</w:t>
      </w:r>
      <w:r>
        <w:rPr>
          <w:rtl w:val="true"/>
        </w:rPr>
        <w:t xml:space="preserve">, </w:t>
      </w:r>
      <w:r>
        <w:rPr>
          <w:rtl w:val="true"/>
        </w:rPr>
        <w:t>במשרדי הפרקליטות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 המומחה בחוות הדעת</w:t>
      </w:r>
      <w:r>
        <w:rPr>
          <w:rtl w:val="true"/>
        </w:rPr>
        <w:t xml:space="preserve">, </w:t>
      </w:r>
      <w:r>
        <w:rPr>
          <w:rtl w:val="true"/>
        </w:rPr>
        <w:t xml:space="preserve">נמצאה </w:t>
      </w:r>
      <w:r>
        <w:rPr>
          <w:rtl w:val="true"/>
        </w:rPr>
        <w:t>"</w:t>
      </w:r>
      <w:r>
        <w:rPr>
          <w:rtl w:val="true"/>
        </w:rPr>
        <w:t>התאמה מלאה</w:t>
      </w:r>
      <w:r>
        <w:rPr>
          <w:rtl w:val="true"/>
        </w:rPr>
        <w:t xml:space="preserve">" </w:t>
      </w:r>
      <w:r>
        <w:rPr>
          <w:rtl w:val="true"/>
        </w:rPr>
        <w:t>בין דגימות הקול שנלקחו מן המתלונן ואחיו ובין הדוברים בהקלטות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הנאשם</w:t>
      </w:r>
      <w:r>
        <w:rPr>
          <w:rtl w:val="true"/>
        </w:rPr>
        <w:t xml:space="preserve">, </w:t>
      </w:r>
      <w:r>
        <w:rPr>
          <w:rtl w:val="true"/>
        </w:rPr>
        <w:t>חוות דעתו של המומחה מדברת בעד עצמה</w:t>
      </w:r>
      <w:r>
        <w:rPr>
          <w:rtl w:val="true"/>
        </w:rPr>
        <w:t xml:space="preserve">, </w:t>
      </w:r>
      <w:r>
        <w:rPr>
          <w:rtl w:val="true"/>
        </w:rPr>
        <w:t>וממנה עולה בבירור כי הנאשם היה מאוים חדשות לבקרים על ידי המתלונן ואחיו</w:t>
      </w:r>
      <w:r>
        <w:rPr>
          <w:rtl w:val="true"/>
        </w:rPr>
        <w:t xml:space="preserve">. </w:t>
      </w:r>
      <w:r>
        <w:rPr>
          <w:rtl w:val="true"/>
        </w:rPr>
        <w:t>לדברי הנאשם</w:t>
      </w:r>
      <w:r>
        <w:rPr>
          <w:rtl w:val="true"/>
        </w:rPr>
        <w:t xml:space="preserve">, </w:t>
      </w:r>
      <w:r>
        <w:rPr>
          <w:rtl w:val="true"/>
        </w:rPr>
        <w:t>יש להביא עובדה זו בחשבון</w:t>
      </w:r>
      <w:r>
        <w:rPr>
          <w:rtl w:val="true"/>
        </w:rPr>
        <w:t xml:space="preserve">, </w:t>
      </w:r>
      <w:r>
        <w:rPr>
          <w:rtl w:val="true"/>
        </w:rPr>
        <w:t>בעת גזירת עונשו של הנאשם</w:t>
      </w:r>
      <w:r>
        <w:rPr>
          <w:rtl w:val="true"/>
        </w:rPr>
        <w:t xml:space="preserve">, </w:t>
      </w:r>
      <w:r>
        <w:rPr>
          <w:rtl w:val="true"/>
        </w:rPr>
        <w:t>כשיקול משמעותי להקל עמו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חוות הדעת אינה קבילה</w:t>
      </w:r>
      <w:r>
        <w:rPr>
          <w:rtl w:val="true"/>
        </w:rPr>
        <w:t xml:space="preserve">, </w:t>
      </w:r>
      <w:r>
        <w:rPr>
          <w:rtl w:val="true"/>
        </w:rPr>
        <w:t>שכן ההקלטות</w:t>
      </w:r>
      <w:r>
        <w:rPr>
          <w:rtl w:val="true"/>
        </w:rPr>
        <w:t xml:space="preserve">, </w:t>
      </w:r>
      <w:r>
        <w:rPr>
          <w:rtl w:val="true"/>
        </w:rPr>
        <w:t>התמלילים וחוות הדעת עצמה לא נתמכו בעדות בפני בית המשפט לגבי נסיבות עריכת ההקלטה</w:t>
      </w:r>
      <w:r>
        <w:rPr>
          <w:rtl w:val="true"/>
        </w:rPr>
        <w:t xml:space="preserve">, </w:t>
      </w:r>
      <w:r>
        <w:rPr>
          <w:rtl w:val="true"/>
        </w:rPr>
        <w:t>מהימנות ההקלטה ואמינותה</w:t>
      </w:r>
      <w:r>
        <w:rPr>
          <w:rtl w:val="true"/>
        </w:rPr>
        <w:t xml:space="preserve">, </w:t>
      </w:r>
      <w:r>
        <w:rPr>
          <w:rtl w:val="true"/>
        </w:rPr>
        <w:t xml:space="preserve">או לגבי תנאי הקבילות על פי </w:t>
      </w:r>
      <w:hyperlink r:id="rId7">
        <w:r>
          <w:rPr>
            <w:rStyle w:val="Hyperlink"/>
            <w:b/>
            <w:b/>
            <w:bCs/>
            <w:rtl w:val="true"/>
          </w:rPr>
          <w:t>חוק האזנת סתר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-</w:t>
      </w:r>
      <w:r>
        <w:rPr>
          <w:b/>
          <w:bCs/>
        </w:rPr>
        <w:t>1979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 המאשימה</w:t>
      </w:r>
      <w:r>
        <w:rPr>
          <w:rtl w:val="true"/>
        </w:rPr>
        <w:t xml:space="preserve">, </w:t>
      </w:r>
      <w:r>
        <w:rPr>
          <w:rtl w:val="true"/>
        </w:rPr>
        <w:t>קיים חוסר התאמה בין השיחות המוקלטות ובין התמלילים</w:t>
      </w:r>
      <w:r>
        <w:rPr>
          <w:rtl w:val="true"/>
        </w:rPr>
        <w:t xml:space="preserve">, </w:t>
      </w:r>
      <w:r>
        <w:rPr>
          <w:rtl w:val="true"/>
        </w:rPr>
        <w:t xml:space="preserve">וישנו חשש כי ההקלטות </w:t>
      </w:r>
      <w:r>
        <w:rPr>
          <w:rtl w:val="true"/>
        </w:rPr>
        <w:t>"</w:t>
      </w:r>
      <w:r>
        <w:rPr>
          <w:rtl w:val="true"/>
        </w:rPr>
        <w:t>בושלו</w:t>
      </w:r>
      <w:r>
        <w:rPr>
          <w:rtl w:val="true"/>
        </w:rPr>
        <w:t xml:space="preserve">" </w:t>
      </w:r>
      <w:r>
        <w:rPr>
          <w:rtl w:val="true"/>
        </w:rPr>
        <w:t>או נערכו</w:t>
      </w:r>
      <w:r>
        <w:rPr>
          <w:rtl w:val="true"/>
        </w:rPr>
        <w:t xml:space="preserve">, </w:t>
      </w:r>
      <w:r>
        <w:rPr>
          <w:rtl w:val="true"/>
        </w:rPr>
        <w:t>באופן שלא ניתן לשמוע את קולו של מי מהדוברים</w:t>
      </w:r>
      <w:r>
        <w:rPr>
          <w:rtl w:val="true"/>
        </w:rPr>
        <w:t xml:space="preserve">, </w:t>
      </w:r>
      <w:r>
        <w:rPr>
          <w:rtl w:val="true"/>
        </w:rPr>
        <w:t>באופן שיתאם את גרסת הנאשם</w:t>
      </w:r>
      <w:r>
        <w:rPr>
          <w:rtl w:val="true"/>
        </w:rPr>
        <w:t xml:space="preserve">. </w:t>
      </w:r>
      <w:r>
        <w:rPr>
          <w:rtl w:val="true"/>
        </w:rPr>
        <w:t>חשש זה מתעורר לאור קטיעות ברצף ההקלטה</w:t>
      </w:r>
      <w:r>
        <w:rPr>
          <w:rtl w:val="true"/>
        </w:rPr>
        <w:t xml:space="preserve">, </w:t>
      </w:r>
      <w:r>
        <w:rPr>
          <w:rtl w:val="true"/>
        </w:rPr>
        <w:t>ולאור העובדה שבחלק מן ההקלטות לא נשמעים בבירור קולותיהם של כל הדוברים</w:t>
      </w:r>
      <w:r>
        <w:rPr>
          <w:rtl w:val="true"/>
        </w:rPr>
        <w:t xml:space="preserve">. </w:t>
      </w:r>
      <w:r>
        <w:rPr>
          <w:rtl w:val="true"/>
        </w:rPr>
        <w:t>חוות הדעת אינה כוללת התייחסות לעניין זה</w:t>
      </w:r>
      <w:r>
        <w:rPr>
          <w:rtl w:val="true"/>
        </w:rPr>
        <w:t xml:space="preserve">, </w:t>
      </w:r>
      <w:r>
        <w:rPr>
          <w:rtl w:val="true"/>
        </w:rPr>
        <w:t>ואמינות ההקלטות לא נבדקה ולא פורטה בחוות הדעת</w:t>
      </w:r>
      <w:r>
        <w:rPr>
          <w:rtl w:val="true"/>
        </w:rPr>
        <w:t xml:space="preserve">. </w:t>
      </w:r>
      <w:r>
        <w:rPr>
          <w:rtl w:val="true"/>
        </w:rPr>
        <w:t>כל ההתייחסות היתה לזהות הדוברים בלבד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נטען כי אף אם היו איומים הדדים משני הצדדים</w:t>
      </w:r>
      <w:r>
        <w:rPr>
          <w:rtl w:val="true"/>
        </w:rPr>
        <w:t xml:space="preserve">, </w:t>
      </w:r>
      <w:r>
        <w:rPr>
          <w:rtl w:val="true"/>
        </w:rPr>
        <w:t>אין בכך הצדקה לאלימות החמורה בה נקט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 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 בה הורשע הנאשם</w:t>
      </w:r>
      <w:r>
        <w:rPr>
          <w:rtl w:val="true"/>
        </w:rPr>
        <w:t xml:space="preserve">, </w:t>
      </w:r>
      <w:r>
        <w:rPr>
          <w:rtl w:val="true"/>
        </w:rPr>
        <w:t>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>הנה חמורה ביותר</w:t>
      </w:r>
      <w:r>
        <w:rPr>
          <w:rtl w:val="true"/>
        </w:rPr>
        <w:t xml:space="preserve">, </w:t>
      </w:r>
      <w:r>
        <w:rPr>
          <w:rtl w:val="true"/>
        </w:rPr>
        <w:t>לא רק משום הפציעה הקשה שנגרמה למתלונן</w:t>
      </w:r>
      <w:r>
        <w:rPr>
          <w:rtl w:val="true"/>
        </w:rPr>
        <w:t xml:space="preserve">, </w:t>
      </w:r>
      <w:r>
        <w:rPr>
          <w:rtl w:val="true"/>
        </w:rPr>
        <w:t>והסכנה שנשקפה לחייו</w:t>
      </w:r>
      <w:r>
        <w:rPr>
          <w:rtl w:val="true"/>
        </w:rPr>
        <w:t xml:space="preserve">, </w:t>
      </w:r>
      <w:r>
        <w:rPr>
          <w:rtl w:val="true"/>
        </w:rPr>
        <w:t>אלא משום הרקע לעבירה זו ולעבירות הנוספות הנעוץ בסכסוך ממושך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שנלוו לו איומים</w:t>
      </w:r>
      <w:r>
        <w:rPr>
          <w:rtl w:val="true"/>
        </w:rPr>
        <w:t xml:space="preserve">, </w:t>
      </w:r>
      <w:r>
        <w:rPr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>הצטיידות מראש במוט עץ ובחפץ חד</w:t>
      </w:r>
      <w:r>
        <w:rPr>
          <w:rtl w:val="true"/>
        </w:rPr>
        <w:t xml:space="preserve">, </w:t>
      </w:r>
      <w:r>
        <w:rPr>
          <w:rtl w:val="true"/>
        </w:rPr>
        <w:t>הבאת המתלונן לבית הנאשם בתואנת שווא</w:t>
      </w:r>
      <w:r>
        <w:rPr>
          <w:rtl w:val="true"/>
        </w:rPr>
        <w:t xml:space="preserve">, </w:t>
      </w:r>
      <w:r>
        <w:rPr>
          <w:rtl w:val="true"/>
        </w:rPr>
        <w:t>וכל זאת לאחר שלכאורה הושכן כבר שלום בין 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 מתווספות לעבירת האלימות</w:t>
      </w:r>
      <w:r>
        <w:rPr>
          <w:rtl w:val="true"/>
        </w:rPr>
        <w:t xml:space="preserve">, </w:t>
      </w:r>
      <w:r>
        <w:rPr>
          <w:rtl w:val="true"/>
        </w:rPr>
        <w:t>עבירות נוספות כגון עבירת החזקת נשק</w:t>
      </w:r>
      <w:r>
        <w:rPr>
          <w:rtl w:val="true"/>
        </w:rPr>
        <w:t xml:space="preserve">, </w:t>
      </w:r>
      <w:r>
        <w:rPr>
          <w:rtl w:val="true"/>
        </w:rPr>
        <w:t>ועבירת איומים</w:t>
      </w:r>
      <w:r>
        <w:rPr>
          <w:rtl w:val="true"/>
        </w:rPr>
        <w:t xml:space="preserve">, </w:t>
      </w:r>
      <w:r>
        <w:rPr>
          <w:rtl w:val="true"/>
        </w:rPr>
        <w:t>טמונה במעשים חומרה יתרה</w:t>
      </w:r>
      <w:r>
        <w:rPr>
          <w:rtl w:val="true"/>
        </w:rPr>
        <w:t xml:space="preserve">, </w:t>
      </w:r>
      <w:r>
        <w:rPr>
          <w:rtl w:val="true"/>
        </w:rPr>
        <w:t>המצדיקה הטלת ענישה מחמירה הכוללת הטלת עונש מאסר משמעותי</w:t>
      </w:r>
      <w:r>
        <w:rPr>
          <w:rtl w:val="true"/>
        </w:rPr>
        <w:t xml:space="preserve">. </w:t>
      </w:r>
      <w:r>
        <w:rPr>
          <w:rtl w:val="true"/>
        </w:rPr>
        <w:t>החזקת נשק היא עבירה מן החמורות</w:t>
      </w:r>
      <w:r>
        <w:rPr>
          <w:rtl w:val="true"/>
        </w:rPr>
        <w:t xml:space="preserve">, </w:t>
      </w:r>
      <w:r>
        <w:rPr>
          <w:rtl w:val="true"/>
        </w:rPr>
        <w:t>וברוח זו נקבעה בפסיקה מדיניות ענישה מחמירה ומרתיעה לעניינים אלה</w:t>
      </w:r>
      <w:r>
        <w:rPr>
          <w:rtl w:val="true"/>
        </w:rPr>
        <w:t xml:space="preserve">, </w:t>
      </w:r>
      <w:r>
        <w:rPr>
          <w:rtl w:val="true"/>
        </w:rPr>
        <w:t>שכן הענישה בגין עבירות הנשק חייבת לשקף את פוטנציאל הסכנה ואת זרע הפורענות הטמון בהן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לשימוש בחפץ חד</w:t>
      </w:r>
      <w:r>
        <w:rPr>
          <w:rtl w:val="true"/>
        </w:rPr>
        <w:t xml:space="preserve">, </w:t>
      </w:r>
      <w:r>
        <w:rPr>
          <w:rtl w:val="true"/>
        </w:rPr>
        <w:t>לשם החבלה במתלונן</w:t>
      </w:r>
      <w:r>
        <w:rPr>
          <w:rtl w:val="true"/>
        </w:rPr>
        <w:t xml:space="preserve">, </w:t>
      </w:r>
      <w:r>
        <w:rPr>
          <w:rtl w:val="true"/>
        </w:rPr>
        <w:t>נפנה לדברים שנקבעו בבית המשפט העליון ביחס לשימוש בסכינים ודומיהם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98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אמרנו לא פעם כי מי שדעתו קלה בעשיית שימוש בסכינים ובמכשירים חבלניים דומים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 כי ייענש במאסר ממשי לתקופה ארוכה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משפט הבכורה בסוג זה של עבירות חייב להינתן לצרכי ההרתעה ולשיקולי ההגנה על הציבור וההתחשבות בנסיבותיהם של העבריינים אינה יכולה להיות אלא משנית</w:t>
      </w:r>
      <w:r>
        <w:rPr>
          <w:b/>
          <w:bCs/>
          <w:rtl w:val="true"/>
        </w:rPr>
        <w:t>...</w:t>
      </w:r>
      <w:r>
        <w:rPr>
          <w:rtl w:val="true"/>
        </w:rPr>
        <w:t>" 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8583/96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חולי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97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במסגרת האישום השני</w:t>
      </w:r>
      <w:r>
        <w:rPr>
          <w:rtl w:val="true"/>
        </w:rPr>
        <w:t xml:space="preserve">, </w:t>
      </w:r>
      <w:r>
        <w:rPr>
          <w:rtl w:val="true"/>
        </w:rPr>
        <w:t>הורשע הנאשם בעבירה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>כאשר ניסה להניא את המתלונן מלהתלונן במשטרה על אודות האירוע הנזכר באישום הראשון</w:t>
      </w:r>
      <w:r>
        <w:rPr>
          <w:rtl w:val="true"/>
        </w:rPr>
        <w:t xml:space="preserve">, </w:t>
      </w:r>
      <w:r>
        <w:rPr>
          <w:rtl w:val="true"/>
        </w:rPr>
        <w:t>ובכך טמונה חומרה נוספת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 עבר פלילי מכביד בעבירות אלימות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 xml:space="preserve">הנאשם ריצה מספר תקופות מאסר מאז שנת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 xml:space="preserve">, </w:t>
      </w:r>
      <w:r>
        <w:rPr>
          <w:rtl w:val="true"/>
        </w:rPr>
        <w:t>ונדון לעונשים נוספים</w:t>
      </w:r>
      <w:r>
        <w:rPr>
          <w:rtl w:val="true"/>
        </w:rPr>
        <w:t xml:space="preserve">, </w:t>
      </w:r>
      <w:r>
        <w:rPr>
          <w:rtl w:val="true"/>
        </w:rPr>
        <w:t>אך כל אלה לא הובילו אותו להשכיל ולהימנע מהסתבכות נוספת בפלילים</w:t>
      </w:r>
      <w:r>
        <w:rPr>
          <w:rtl w:val="true"/>
        </w:rPr>
        <w:t xml:space="preserve">, </w:t>
      </w:r>
      <w:r>
        <w:rPr>
          <w:rtl w:val="true"/>
        </w:rPr>
        <w:t>ולהפסיק לפעול באלימות כלפי אחרים</w:t>
      </w:r>
      <w:r>
        <w:rPr>
          <w:rtl w:val="true"/>
        </w:rPr>
        <w:t xml:space="preserve">. </w:t>
      </w:r>
      <w:r>
        <w:rPr>
          <w:rtl w:val="true"/>
        </w:rPr>
        <w:t>בעת ביצוע העבירות נשוא כתב האישום המתוקן</w:t>
      </w:r>
      <w:r>
        <w:rPr>
          <w:rtl w:val="true"/>
        </w:rPr>
        <w:t xml:space="preserve">, </w:t>
      </w:r>
      <w:r>
        <w:rPr>
          <w:rtl w:val="true"/>
        </w:rPr>
        <w:t>היה הנאשם משוחרר ממאסר במשך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בלבד</w:t>
      </w:r>
      <w:r>
        <w:rPr>
          <w:rtl w:val="true"/>
        </w:rPr>
        <w:t xml:space="preserve">, </w:t>
      </w:r>
      <w:r>
        <w:rPr>
          <w:rtl w:val="true"/>
        </w:rPr>
        <w:t>ובאותו מועד היו תלויים נגדו שני עונשי מאסר מותנים בגין עבירות אלימות ובגין עבירת איומים</w:t>
      </w:r>
      <w:r>
        <w:rPr>
          <w:rtl w:val="true"/>
        </w:rPr>
        <w:t xml:space="preserve">. </w:t>
      </w:r>
      <w:r>
        <w:rPr>
          <w:rtl w:val="true"/>
        </w:rPr>
        <w:t>בכך ניכר כי אין מורא החוק על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לחוות דעת המומחה שהוגשה מטעם הנאשם</w:t>
      </w:r>
      <w:r>
        <w:rPr>
          <w:rtl w:val="true"/>
        </w:rPr>
        <w:t xml:space="preserve">, </w:t>
      </w:r>
      <w:r>
        <w:rPr>
          <w:rtl w:val="true"/>
        </w:rPr>
        <w:t>כראיה 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אנו סבורים כי אין ליתן משקל לחוות הדעת בשלב גזירת הדין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המומחה אשר נתן את חוות הדעת לא העיד בפני בית המשפט</w:t>
      </w:r>
      <w:r>
        <w:rPr>
          <w:rtl w:val="true"/>
        </w:rPr>
        <w:t xml:space="preserve">, </w:t>
      </w:r>
      <w:r>
        <w:rPr>
          <w:rtl w:val="true"/>
        </w:rPr>
        <w:t>ולמאשימה לא ניתנה הזדמנות לחקור אותו בחקירה נגדית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חוות הדעת עוסקת באיומים שהופנו כלפי הנאשם על ידי המתלונן ואחיו עובר למעשים המתוארים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ומעת שהצדדים הסכימו במסגרת הסדר הטיעון כי הנאשם אכן אוים על ידם</w:t>
      </w:r>
      <w:r>
        <w:rPr>
          <w:rtl w:val="true"/>
        </w:rPr>
        <w:t xml:space="preserve">, </w:t>
      </w:r>
      <w:r>
        <w:rPr>
          <w:rtl w:val="true"/>
        </w:rPr>
        <w:t>ממילא הובאה עובדה זו בחשבון על ידי בית המשפט בעת גזירת הדין</w:t>
      </w:r>
      <w:r>
        <w:rPr>
          <w:rtl w:val="true"/>
        </w:rPr>
        <w:t xml:space="preserve">, </w:t>
      </w:r>
      <w:r>
        <w:rPr>
          <w:rtl w:val="true"/>
        </w:rPr>
        <w:t>אף מבלי שהנחה עובדתית זו תהיה מבוססת על ממצאי חוות הדעת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 שכאמור</w:t>
      </w:r>
      <w:r>
        <w:rPr>
          <w:rtl w:val="true"/>
        </w:rPr>
        <w:t xml:space="preserve">, </w:t>
      </w:r>
      <w:r>
        <w:rPr>
          <w:rtl w:val="true"/>
        </w:rPr>
        <w:t>הוסכם בין הצדדים כי הנאשם אוים על ידי המתלונן ואחיו</w:t>
      </w:r>
      <w:r>
        <w:rPr>
          <w:rtl w:val="true"/>
        </w:rPr>
        <w:t xml:space="preserve">, </w:t>
      </w:r>
      <w:r>
        <w:rPr>
          <w:rtl w:val="true"/>
        </w:rPr>
        <w:t>ובכך ישנה נסיבה מסוימת לקולא</w:t>
      </w:r>
      <w:r>
        <w:rPr>
          <w:rtl w:val="true"/>
        </w:rPr>
        <w:t xml:space="preserve">, </w:t>
      </w:r>
      <w:r>
        <w:rPr>
          <w:rtl w:val="true"/>
        </w:rPr>
        <w:t>יש להדגיש כי האיומים כלפי הנאשם לא הצדיקו את נטילת החוק לידיו</w:t>
      </w:r>
      <w:r>
        <w:rPr>
          <w:rtl w:val="true"/>
        </w:rPr>
        <w:t xml:space="preserve">, </w:t>
      </w:r>
      <w:r>
        <w:rPr>
          <w:rtl w:val="true"/>
        </w:rPr>
        <w:t>ופגיעתו האלימה והחמורה במתלונן</w:t>
      </w:r>
      <w:r>
        <w:rPr>
          <w:rtl w:val="true"/>
        </w:rPr>
        <w:t xml:space="preserve">, </w:t>
      </w:r>
      <w:r>
        <w:rPr>
          <w:rtl w:val="true"/>
        </w:rPr>
        <w:t>תוך הצטיידות בנשק</w:t>
      </w:r>
      <w:r>
        <w:rPr>
          <w:rtl w:val="true"/>
        </w:rPr>
        <w:t xml:space="preserve">, </w:t>
      </w:r>
      <w:r>
        <w:rPr>
          <w:rtl w:val="true"/>
        </w:rPr>
        <w:t>והשבה נגדית של איומים</w:t>
      </w:r>
      <w:r>
        <w:rPr>
          <w:rtl w:val="true"/>
        </w:rPr>
        <w:t xml:space="preserve">, </w:t>
      </w:r>
      <w:r>
        <w:rPr>
          <w:rtl w:val="true"/>
        </w:rPr>
        <w:t>בטרם ולאחר מעשה החבלה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אלה</w:t>
      </w:r>
      <w:r>
        <w:rPr>
          <w:rtl w:val="true"/>
        </w:rPr>
        <w:t xml:space="preserve">, </w:t>
      </w:r>
      <w:r>
        <w:rPr>
          <w:rtl w:val="true"/>
        </w:rPr>
        <w:t>יש להתחשב לזכותו של הנאשם בגילו הצעיר יחסית</w:t>
      </w:r>
      <w:r>
        <w:rPr>
          <w:rtl w:val="true"/>
        </w:rPr>
        <w:t xml:space="preserve">, </w:t>
      </w:r>
      <w:r>
        <w:rPr>
          <w:rtl w:val="true"/>
        </w:rPr>
        <w:t>במצבו המשפחתי</w:t>
      </w:r>
      <w:r>
        <w:rPr>
          <w:rtl w:val="true"/>
        </w:rPr>
        <w:t xml:space="preserve">, </w:t>
      </w:r>
      <w:r>
        <w:rPr>
          <w:rtl w:val="true"/>
        </w:rPr>
        <w:t>ובחרטה שהביע בפני בית המשפט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הודאתו של הנאשם</w:t>
      </w:r>
      <w:r>
        <w:rPr>
          <w:rtl w:val="true"/>
        </w:rPr>
        <w:t xml:space="preserve">, </w:t>
      </w:r>
      <w:r>
        <w:rPr>
          <w:rtl w:val="true"/>
        </w:rPr>
        <w:t>בשלב כה מאוחר של ההליך</w:t>
      </w:r>
      <w:r>
        <w:rPr>
          <w:rtl w:val="true"/>
        </w:rPr>
        <w:t xml:space="preserve">, </w:t>
      </w:r>
      <w:r>
        <w:rPr>
          <w:rtl w:val="true"/>
        </w:rPr>
        <w:t>לא תרמה לחיסכון ניכר בזמן שיפוטי</w:t>
      </w:r>
      <w:r>
        <w:rPr>
          <w:rtl w:val="true"/>
        </w:rPr>
        <w:t xml:space="preserve">, </w:t>
      </w:r>
      <w:r>
        <w:rPr>
          <w:rtl w:val="true"/>
        </w:rPr>
        <w:t>אך יש להתחשב בה בכל זאת כנימוק לקולא</w:t>
      </w:r>
      <w:r>
        <w:rPr>
          <w:rtl w:val="true"/>
        </w:rPr>
        <w:t xml:space="preserve">, </w:t>
      </w:r>
      <w:r>
        <w:rPr>
          <w:rtl w:val="true"/>
        </w:rPr>
        <w:t>מה גם שסבורים אנו כי יכול שבזאת הפעם</w:t>
      </w:r>
      <w:r>
        <w:rPr>
          <w:rtl w:val="true"/>
        </w:rPr>
        <w:t xml:space="preserve">, </w:t>
      </w:r>
      <w:r>
        <w:rPr>
          <w:rtl w:val="true"/>
        </w:rPr>
        <w:t>לאור דברי החרטה הכנים של הנאשם</w:t>
      </w:r>
      <w:r>
        <w:rPr>
          <w:rtl w:val="true"/>
        </w:rPr>
        <w:t xml:space="preserve">, </w:t>
      </w:r>
      <w:r>
        <w:rPr>
          <w:rtl w:val="true"/>
        </w:rPr>
        <w:t>ישכיל הנאשם ללמוד את לקחו</w:t>
      </w:r>
      <w:r>
        <w:rPr>
          <w:rtl w:val="true"/>
        </w:rPr>
        <w:t xml:space="preserve">, </w:t>
      </w:r>
      <w:r>
        <w:rPr>
          <w:rtl w:val="true"/>
        </w:rPr>
        <w:t>להפנים את חומרת מעשיו</w:t>
      </w:r>
      <w:r>
        <w:rPr>
          <w:rtl w:val="true"/>
        </w:rPr>
        <w:t xml:space="preserve">, </w:t>
      </w:r>
      <w:r>
        <w:rPr>
          <w:rtl w:val="true"/>
        </w:rPr>
        <w:t>ואולי בכך ימצא הפתח</w:t>
      </w:r>
      <w:r>
        <w:rPr>
          <w:rtl w:val="true"/>
        </w:rPr>
        <w:t xml:space="preserve">, </w:t>
      </w:r>
      <w:r>
        <w:rPr>
          <w:rtl w:val="true"/>
        </w:rPr>
        <w:t>לאחר שחרורו מהכלא</w:t>
      </w:r>
      <w:r>
        <w:rPr>
          <w:rtl w:val="true"/>
        </w:rPr>
        <w:t xml:space="preserve">, </w:t>
      </w:r>
      <w:r>
        <w:rPr>
          <w:rtl w:val="true"/>
        </w:rPr>
        <w:t>לשילובו בחברה כאזרח שומר חוק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 בפסיקת בתי המשפט באשר לעבירות אלימות</w:t>
      </w:r>
      <w:r>
        <w:rPr>
          <w:rtl w:val="true"/>
        </w:rPr>
        <w:t xml:space="preserve">, </w:t>
      </w:r>
      <w:r>
        <w:rPr>
          <w:rtl w:val="true"/>
        </w:rPr>
        <w:t>אשר בוצעו תוך שימוש בחפץ חד</w:t>
      </w:r>
      <w:r>
        <w:rPr>
          <w:rtl w:val="true"/>
        </w:rPr>
        <w:t xml:space="preserve">, </w:t>
      </w:r>
      <w:r>
        <w:rPr>
          <w:rtl w:val="true"/>
        </w:rPr>
        <w:t>או לוו בהחזקת נשק חם</w:t>
      </w:r>
      <w:r>
        <w:rPr>
          <w:rtl w:val="true"/>
        </w:rPr>
        <w:t xml:space="preserve">, </w:t>
      </w:r>
      <w:r>
        <w:rPr>
          <w:rtl w:val="true"/>
        </w:rPr>
        <w:t>כפי הנסיבות בענייננו</w:t>
      </w:r>
      <w:r>
        <w:rPr>
          <w:rtl w:val="true"/>
        </w:rPr>
        <w:t xml:space="preserve">, </w:t>
      </w:r>
      <w:r>
        <w:rPr>
          <w:rtl w:val="true"/>
        </w:rPr>
        <w:t>מעלה כי רף הענישה בעבירות אלה אינו אחיד ונע ממספר חודשי מאסר בתוספת מאסר מותנה ועד למאסר בפועל לתקופות ממושכות</w:t>
      </w:r>
      <w:r>
        <w:rPr>
          <w:rtl w:val="true"/>
        </w:rPr>
        <w:t xml:space="preserve">. </w:t>
      </w:r>
      <w:r>
        <w:rPr>
          <w:rtl w:val="true"/>
        </w:rPr>
        <w:t>נראה כי אין שני מקרים זהים</w:t>
      </w:r>
      <w:r>
        <w:rPr>
          <w:rtl w:val="true"/>
        </w:rPr>
        <w:t xml:space="preserve">, </w:t>
      </w:r>
      <w:r>
        <w:rPr>
          <w:rtl w:val="true"/>
        </w:rPr>
        <w:t>לא 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וחשוב מכך </w:t>
      </w:r>
      <w:r>
        <w:rPr>
          <w:rtl w:val="true"/>
        </w:rPr>
        <w:t>–</w:t>
      </w:r>
      <w:r>
        <w:rPr>
          <w:rtl w:val="true"/>
        </w:rPr>
        <w:t xml:space="preserve"> לא בנסיבותיו האישיות של מבצע העבירה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מלאכת גזירת הדין ביחס לנאשם שבפנינו תתבסס על ענישה אינדיווידואלית</w:t>
      </w:r>
      <w:r>
        <w:rPr>
          <w:rtl w:val="true"/>
        </w:rPr>
        <w:t xml:space="preserve">, </w:t>
      </w:r>
      <w:r>
        <w:rPr>
          <w:rtl w:val="true"/>
        </w:rPr>
        <w:t>תוך השוואה למקרים דומים בנסיבות ביצוע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 זה נפנה לפסקי הדין הבאים</w:t>
      </w:r>
      <w:r>
        <w:rPr>
          <w:rtl w:val="true"/>
        </w:rPr>
        <w:t xml:space="preserve">: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8513/05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סבובה</w:t>
      </w:r>
      <w:r>
        <w:rPr>
          <w:rtl w:val="true"/>
        </w:rPr>
        <w:t xml:space="preserve"> </w:t>
      </w:r>
      <w:r>
        <w:rPr/>
        <w:t>3/8/2006</w:t>
      </w:r>
      <w:r>
        <w:rPr>
          <w:rtl w:val="true"/>
        </w:rPr>
        <w:t xml:space="preserve">;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10469/05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פארס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/>
        <w:t>11/11/05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חיפה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7021/08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רכאב</w:t>
      </w:r>
      <w:r>
        <w:rPr>
          <w:rtl w:val="true"/>
        </w:rPr>
        <w:t xml:space="preserve">, </w:t>
      </w:r>
      <w:r>
        <w:rPr/>
        <w:t>15/9/2009</w:t>
      </w:r>
      <w:r>
        <w:rPr>
          <w:rtl w:val="true"/>
        </w:rPr>
        <w:t xml:space="preserve">; </w:t>
      </w:r>
      <w:hyperlink r:id="rId10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א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1046/08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פדד</w:t>
      </w:r>
      <w:r>
        <w:rPr>
          <w:rtl w:val="true"/>
        </w:rPr>
        <w:t xml:space="preserve">, </w:t>
      </w:r>
      <w:r>
        <w:rPr/>
        <w:t>21/12/2008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חיפה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7083/08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איימן</w:t>
      </w:r>
      <w:r>
        <w:rPr>
          <w:rtl w:val="true"/>
        </w:rPr>
        <w:t xml:space="preserve">, </w:t>
      </w:r>
      <w:r>
        <w:rPr/>
        <w:t>9/11/2008</w:t>
      </w:r>
      <w:r>
        <w:rPr>
          <w:rtl w:val="true"/>
        </w:rPr>
        <w:t xml:space="preserve">; 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א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40110/06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מזרחי</w:t>
      </w:r>
      <w:r>
        <w:rPr>
          <w:rtl w:val="true"/>
        </w:rPr>
        <w:t xml:space="preserve">, </w:t>
      </w:r>
      <w:r>
        <w:rPr/>
        <w:t>7/12/2006</w:t>
      </w:r>
      <w:r>
        <w:rPr>
          <w:rtl w:val="true"/>
        </w:rPr>
        <w:t xml:space="preserve">; 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4053/05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שומייב</w:t>
      </w:r>
      <w:r>
        <w:rPr>
          <w:rtl w:val="true"/>
        </w:rPr>
        <w:t xml:space="preserve">, </w:t>
      </w:r>
      <w:r>
        <w:rPr/>
        <w:t>10/7/05</w:t>
      </w:r>
      <w:r>
        <w:rPr>
          <w:rtl w:val="true"/>
        </w:rPr>
        <w:t xml:space="preserve">; </w:t>
      </w:r>
      <w:hyperlink r:id="rId1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א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1119/02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חטיב</w:t>
      </w:r>
      <w:r>
        <w:rPr>
          <w:rtl w:val="true"/>
        </w:rPr>
        <w:t xml:space="preserve">, </w:t>
      </w:r>
      <w:r>
        <w:rPr/>
        <w:t>23/1/2003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>ולאור המפורט לעיל</w:t>
      </w:r>
      <w:r>
        <w:rPr>
          <w:rtl w:val="true"/>
        </w:rPr>
        <w:t xml:space="preserve">, </w:t>
      </w:r>
      <w:r>
        <w:rPr>
          <w:rtl w:val="true"/>
        </w:rPr>
        <w:t>אין מנוס מענישה מחמירה ומרתיעה</w:t>
      </w:r>
      <w:r>
        <w:rPr>
          <w:rtl w:val="true"/>
        </w:rPr>
        <w:t xml:space="preserve">, </w:t>
      </w:r>
      <w:r>
        <w:rPr>
          <w:rtl w:val="true"/>
        </w:rPr>
        <w:t>שמשמעותה שליחת הנאשם למאסר בפועל לתקופה ממושכת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 ראינו לקבל את עמדת המאשימה ביחס לעונש הראוי לגזור על הנאשם</w:t>
      </w:r>
      <w:r>
        <w:rPr>
          <w:rtl w:val="true"/>
        </w:rPr>
        <w:t xml:space="preserve">, </w:t>
      </w:r>
      <w:r>
        <w:rPr>
          <w:rtl w:val="true"/>
        </w:rPr>
        <w:t>שכן התקופה המבוקשת אינה מידתית בנסיבות העניין</w:t>
      </w:r>
      <w:r>
        <w:rPr>
          <w:rtl w:val="true"/>
        </w:rPr>
        <w:t xml:space="preserve">, </w:t>
      </w:r>
      <w:r>
        <w:rPr>
          <w:rtl w:val="true"/>
        </w:rPr>
        <w:t>ואינה תואמת את רף הענישה בפסיקה אותה סקרנו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 ששקלנו את השיקולים לחומרה ולקולא בעניינו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 נסיבותיו האישיות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 גוזרים את דינו של הנאשם כדלהלן</w:t>
      </w:r>
      <w:r>
        <w:rPr>
          <w:b/>
          <w:bCs/>
          <w:rtl w:val="true"/>
        </w:rPr>
        <w:t>:</w:t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both"/>
        <w:rPr>
          <w:b/>
          <w:bCs/>
        </w:rPr>
      </w:pP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בניכוי ימי מעצרו מיום </w:t>
      </w:r>
      <w:r>
        <w:rPr>
          <w:b/>
          <w:bCs/>
        </w:rPr>
        <w:t>21/8/2009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both"/>
        <w:rPr>
          <w:b/>
          <w:bCs/>
        </w:rPr>
      </w:pPr>
      <w:r>
        <w:rPr>
          <w:b/>
          <w:b/>
          <w:bCs/>
          <w:rtl w:val="true"/>
        </w:rPr>
        <w:t>אנו מפעילים את עונשי המאסר המותנה שהוטלו על הנאשם ב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נצרת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Cs/>
          <w:color w:val="000000"/>
        </w:rPr>
        <w:t>1059/06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גזר דין מיום </w:t>
      </w:r>
      <w:r>
        <w:rPr>
          <w:b/>
          <w:bCs/>
        </w:rPr>
        <w:t>25/2/2007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בסך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נצרת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Cs/>
          <w:color w:val="000000"/>
        </w:rPr>
        <w:t>2359/06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גזר דין מיום </w:t>
      </w:r>
      <w:r>
        <w:rPr>
          <w:b/>
          <w:bCs/>
        </w:rPr>
        <w:t>5/3/2007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בסך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 חופף זה לזה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ומחצית מן המאסרים המותנים החופפים 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ירוצו במצטבר לעונש המאסר נשוא תיק זה</w:t>
      </w:r>
      <w:r>
        <w:rPr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start="81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כך שסך הכל ירצה הנאשם </w:t>
      </w:r>
      <w:r>
        <w:rPr>
          <w:b/>
          <w:bCs/>
          <w:u w:val="single"/>
        </w:rPr>
        <w:t>55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b/>
          <w:bCs/>
          <w:u w:val="single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both"/>
        <w:rPr>
          <w:b/>
          <w:bCs/>
        </w:rPr>
      </w:pP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כי הנאשם לא יעבור בתקופת התנאי עבירת אלימות מסוג 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ויורשע בגינה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אם בתקופת התנאי ובין אם לאחריה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יפצה את המתלונן בסך של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>אשר יחולקו ל</w:t>
      </w:r>
      <w:r>
        <w:rPr>
          <w:b/>
          <w:bCs/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שווים 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אשר ישולמו בכל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לחודש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ותחילתם בתוך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מיום שחרורו של הנאשם ממאסר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810" w:end="0"/>
        <w:jc w:val="both"/>
        <w:rPr>
          <w:b/>
          <w:bCs/>
        </w:rPr>
      </w:pPr>
      <w:r>
        <w:rPr>
          <w:b/>
          <w:b/>
          <w:bCs/>
          <w:rtl w:val="true"/>
        </w:rPr>
        <w:t>היה ולא ישולם אחד התשלומים במועדו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יועמד כל הסכום לפירעון מידיי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8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810" w:end="0"/>
        <w:jc w:val="both"/>
        <w:rPr>
          <w:b/>
          <w:bCs/>
        </w:rPr>
      </w:pPr>
      <w:r>
        <w:rPr>
          <w:b/>
          <w:b/>
          <w:bCs/>
          <w:rtl w:val="true"/>
        </w:rPr>
        <w:t>בשולי פסק הדין ולאור בקשת הנאשם ומאחר שאנו סבורים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יכול שיש מקום להליכי שיקום בעניינו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 מפנים את תשומת לב 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 לשקול אפשרות שיבוצו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 כמה שאפשר במסגרת שיקולי 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בכלא שיקומי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8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#7#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כבוד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 והודע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15/09/2010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תאופיק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כתילי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סגן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זיאד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הווארי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אשר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קולה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/Users/liorb/Downloads/study2025-p2/ME-09-141-28.doc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אבי 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810"/>
        </w:tabs>
        <w:ind w:start="810" w:hanging="45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158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488883" TargetMode="External"/><Relationship Id="rId7" Type="http://schemas.openxmlformats.org/officeDocument/2006/relationships/hyperlink" Target="http://www.nevo.co.il/law/71587" TargetMode="External"/><Relationship Id="rId8" Type="http://schemas.openxmlformats.org/officeDocument/2006/relationships/hyperlink" Target="http://www.nevo.co.il/case/5983942" TargetMode="External"/><Relationship Id="rId9" Type="http://schemas.openxmlformats.org/officeDocument/2006/relationships/hyperlink" Target="http://www.nevo.co.il/case/6170503" TargetMode="External"/><Relationship Id="rId10" Type="http://schemas.openxmlformats.org/officeDocument/2006/relationships/hyperlink" Target="http://www.nevo.co.il/case/2246300" TargetMode="External"/><Relationship Id="rId11" Type="http://schemas.openxmlformats.org/officeDocument/2006/relationships/hyperlink" Target="http://www.nevo.co.il/case/526565" TargetMode="External"/><Relationship Id="rId12" Type="http://schemas.openxmlformats.org/officeDocument/2006/relationships/hyperlink" Target="http://www.nevo.co.il/case/436818" TargetMode="External"/><Relationship Id="rId13" Type="http://schemas.openxmlformats.org/officeDocument/2006/relationships/hyperlink" Target="http://www.nevo.co.il/case/262007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2016-02-08T11:58:00Z</dcterms:created>
  <dc:creator> </dc:creator>
  <dc:description/>
  <cp:keywords/>
  <dc:language>en-IL</dc:language>
  <cp:lastModifiedBy>hofit</cp:lastModifiedBy>
  <dcterms:modified xsi:type="dcterms:W3CDTF">2016-02-08T11:58:00Z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אבי משה</vt:lpwstr>
  </property>
  <property fmtid="{D5CDD505-2E9C-101B-9397-08002B2CF9AE}" pid="4" name="CASENOTES1">
    <vt:lpwstr>ProcID=133;209&amp;PartA=8583&amp;PartC=96</vt:lpwstr>
  </property>
  <property fmtid="{D5CDD505-2E9C-101B-9397-08002B2CF9AE}" pid="5" name="CASENOTES2">
    <vt:lpwstr>ProcID=209&amp;PartA=1059&amp;PartC=06</vt:lpwstr>
  </property>
  <property fmtid="{D5CDD505-2E9C-101B-9397-08002B2CF9AE}" pid="6" name="CASENOTES3">
    <vt:lpwstr>ProcID=209&amp;PartA=2359&amp;PartC=06</vt:lpwstr>
  </property>
  <property fmtid="{D5CDD505-2E9C-101B-9397-08002B2CF9AE}" pid="7" name="CASENOTES4">
    <vt:lpwstr>ProcID=209&amp;PartA=7021&amp;PartC=08</vt:lpwstr>
  </property>
  <property fmtid="{D5CDD505-2E9C-101B-9397-08002B2CF9AE}" pid="8" name="CASENOTES5">
    <vt:lpwstr>ProcID=209&amp;PartA=7083&amp;PartC=08</vt:lpwstr>
  </property>
  <property fmtid="{D5CDD505-2E9C-101B-9397-08002B2CF9AE}" pid="9" name="CASESLISTTMP1">
    <vt:lpwstr>2488883;5983942;6170503;2246300;526565;436818;262007</vt:lpwstr>
  </property>
  <property fmtid="{D5CDD505-2E9C-101B-9397-08002B2CF9AE}" pid="10" name="CITY">
    <vt:lpwstr>נצ'</vt:lpwstr>
  </property>
  <property fmtid="{D5CDD505-2E9C-101B-9397-08002B2CF9AE}" pid="11" name="DATE">
    <vt:lpwstr>20100915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תאופיק כתילי; זיאד הווארי; אשר קולה</vt:lpwstr>
  </property>
  <property fmtid="{D5CDD505-2E9C-101B-9397-08002B2CF9AE}" pid="15" name="LAWLISTTMP1">
    <vt:lpwstr>70301:2</vt:lpwstr>
  </property>
  <property fmtid="{D5CDD505-2E9C-101B-9397-08002B2CF9AE}" pid="16" name="LAWLISTTMP2">
    <vt:lpwstr>71587</vt:lpwstr>
  </property>
  <property fmtid="{D5CDD505-2E9C-101B-9397-08002B2CF9AE}" pid="17" name="LAWYER">
    <vt:lpwstr>סימונה בן חיים – לוי;עאמר ;תומר נוה</vt:lpwstr>
  </property>
  <property fmtid="{D5CDD505-2E9C-101B-9397-08002B2CF9AE}" pid="18" name="LINKK1">
    <vt:lpwstr/>
  </property>
  <property fmtid="{D5CDD505-2E9C-101B-9397-08002B2CF9AE}" pid="19" name="LINKK10">
    <vt:lpwstr/>
  </property>
  <property fmtid="{D5CDD505-2E9C-101B-9397-08002B2CF9AE}" pid="20" name="LINKK11">
    <vt:lpwstr/>
  </property>
  <property fmtid="{D5CDD505-2E9C-101B-9397-08002B2CF9AE}" pid="21" name="LINKK12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NEWPARTA">
    <vt:lpwstr>141</vt:lpwstr>
  </property>
  <property fmtid="{D5CDD505-2E9C-101B-9397-08002B2CF9AE}" pid="31" name="NEWPARTB">
    <vt:lpwstr/>
  </property>
  <property fmtid="{D5CDD505-2E9C-101B-9397-08002B2CF9AE}" pid="32" name="NEWPARTC">
    <vt:lpwstr>09</vt:lpwstr>
  </property>
  <property fmtid="{D5CDD505-2E9C-101B-9397-08002B2CF9AE}" pid="33" name="NEWPROC">
    <vt:lpwstr>תפח</vt:lpwstr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/>
  </property>
  <property fmtid="{D5CDD505-2E9C-101B-9397-08002B2CF9AE}" pid="38" name="PROCNUM">
    <vt:lpwstr>141</vt:lpwstr>
  </property>
  <property fmtid="{D5CDD505-2E9C-101B-9397-08002B2CF9AE}" pid="39" name="PROCYEAR">
    <vt:lpwstr>09</vt:lpwstr>
  </property>
  <property fmtid="{D5CDD505-2E9C-101B-9397-08002B2CF9AE}" pid="40" name="PSAKDIN">
    <vt:lpwstr>גזר-דין</vt:lpwstr>
  </property>
  <property fmtid="{D5CDD505-2E9C-101B-9397-08002B2CF9AE}" pid="41" name="RemarkFileName">
    <vt:lpwstr>mechozi me 09 141 28 htm</vt:lpwstr>
  </property>
  <property fmtid="{D5CDD505-2E9C-101B-9397-08002B2CF9AE}" pid="42" name="TYPE">
    <vt:lpwstr>2</vt:lpwstr>
  </property>
  <property fmtid="{D5CDD505-2E9C-101B-9397-08002B2CF9AE}" pid="43" name="TYPE_ABS_DATE">
    <vt:lpwstr>390020100915</vt:lpwstr>
  </property>
  <property fmtid="{D5CDD505-2E9C-101B-9397-08002B2CF9AE}" pid="44" name="TYPE_N_DATE">
    <vt:lpwstr>39020100915</vt:lpwstr>
  </property>
  <property fmtid="{D5CDD505-2E9C-101B-9397-08002B2CF9AE}" pid="45" name="VOLUME">
    <vt:lpwstr/>
  </property>
  <property fmtid="{D5CDD505-2E9C-101B-9397-08002B2CF9AE}" pid="46" name="WORDNUMPAGES">
    <vt:lpwstr>9</vt:lpwstr>
  </property>
</Properties>
</file>