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חסארמה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אשר קולה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 צרפתי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אברהים חסארמה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קנדלפת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טאמר אסעד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355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1982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פתח דבר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7151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הנאשם כפר תחילה בעובדות כתב האישום המקורי ובתיק נתקיימה ישיבת הוכחות אחת</w:t>
      </w:r>
      <w:r>
        <w:rPr>
          <w:rtl w:val="true"/>
        </w:rPr>
        <w:t xml:space="preserve">, </w:t>
      </w:r>
      <w:r>
        <w:rPr>
          <w:rtl w:val="true"/>
        </w:rPr>
        <w:t>בהמשך לכך הגיעו הצדדים להסדר טיעון במסגרתו תוקן כתב האישום</w:t>
      </w:r>
      <w:r>
        <w:rPr>
          <w:rtl w:val="true"/>
        </w:rPr>
        <w:t xml:space="preserve">, </w:t>
      </w:r>
      <w:r>
        <w:rPr>
          <w:rtl w:val="true"/>
        </w:rPr>
        <w:t>הנאשם הודה בעובדותיו והורשע בביצוע העבירות המיוחסות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במסגרת הסדר הטיעון הוסכם כי הצדדים יטענו לעונש באופן חופשי כאשר הנאשם יישלח תחילה לתסקיר שהמלצותיו לא יחייבו  את התביעה</w:t>
      </w:r>
      <w:r>
        <w:rPr>
          <w:rtl w:val="true"/>
        </w:rPr>
        <w:t xml:space="preserve">, </w:t>
      </w:r>
      <w:r>
        <w:rPr>
          <w:rtl w:val="true"/>
        </w:rPr>
        <w:t>לקבלת חוות דעת בעניין מסוכנותו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הורנו על הכנת תסקיר קורבן העבירה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כתב האישום המתוקן מיום </w:t>
      </w:r>
      <w:r>
        <w:rPr/>
        <w:t>04.05.10</w:t>
      </w:r>
      <w:r>
        <w:rPr>
          <w:rtl w:val="true"/>
        </w:rPr>
        <w:t xml:space="preserve"> </w:t>
      </w:r>
      <w:r>
        <w:rPr>
          <w:rtl w:val="true"/>
        </w:rPr>
        <w:t>מייחס לנאשם</w:t>
      </w:r>
      <w:r>
        <w:rPr>
          <w:rtl w:val="true"/>
        </w:rPr>
        <w:t xml:space="preserve">, </w:t>
      </w:r>
      <w:r>
        <w:rPr>
          <w:rtl w:val="true"/>
        </w:rPr>
        <w:t>עבירה של מעשה מגונה בנסיבות אינוס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במסגרת דיון מיום </w:t>
      </w:r>
      <w:r>
        <w:rPr/>
        <w:t>04.10.10</w:t>
      </w:r>
      <w:r>
        <w:rPr>
          <w:rtl w:val="true"/>
        </w:rPr>
        <w:t xml:space="preserve">, </w:t>
      </w:r>
      <w:r>
        <w:rPr>
          <w:rtl w:val="true"/>
        </w:rPr>
        <w:t>אישרנו לבקשת הנאשם לצרף כתב אישום מתוקן נוסף</w:t>
      </w:r>
      <w:r>
        <w:rPr>
          <w:rtl w:val="true"/>
        </w:rPr>
        <w:t>, (</w:t>
      </w:r>
      <w:hyperlink r:id="rId15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8792-07-10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אשר גם בעובדותיו הודה הנאשם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התיק הנוסף</w:t>
      </w:r>
      <w:r>
        <w:rPr>
          <w:rtl w:val="true"/>
        </w:rPr>
        <w:t xml:space="preserve">"). </w:t>
      </w:r>
      <w:r>
        <w:rPr>
          <w:rtl w:val="true"/>
        </w:rPr>
        <w:t>הנאשם הורשע בביצוע העבירות המיוחסות לו בתיק הנוסף</w:t>
      </w:r>
      <w:r>
        <w:rPr>
          <w:rtl w:val="true"/>
        </w:rPr>
        <w:t xml:space="preserve">. </w:t>
      </w:r>
      <w:r>
        <w:rPr>
          <w:rtl w:val="true"/>
        </w:rPr>
        <w:t>עוד הוסכם על הכנת תסקיר משלים של שירות המבחן</w:t>
      </w:r>
      <w:r>
        <w:rPr>
          <w:rtl w:val="true"/>
        </w:rPr>
        <w:t xml:space="preserve">, </w:t>
      </w:r>
      <w:r>
        <w:rPr>
          <w:rtl w:val="true"/>
        </w:rPr>
        <w:t>הערכת מסוכנות מינית עדכנית ותסקיר קורבן עבירה בהתייחס לתיק הנוסף</w:t>
      </w:r>
      <w:r>
        <w:rPr>
          <w:rtl w:val="true"/>
        </w:rPr>
        <w:t xml:space="preserve">.   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כתב האישום המתוקן בתיק הנוסף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12.07.10</w:t>
      </w:r>
      <w:r>
        <w:rPr>
          <w:rtl w:val="true"/>
        </w:rPr>
        <w:t xml:space="preserve">, </w:t>
      </w:r>
      <w:r>
        <w:rPr>
          <w:rtl w:val="true"/>
        </w:rPr>
        <w:t>מייחס לנאשם עבירה של 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עובדות כתב האישום המתוקן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על פי עיקר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>
          <w:u w:val="single"/>
        </w:rPr>
        <w:t>30.08.09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יצאה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97</w:t>
      </w:r>
      <w:r>
        <w:rPr>
          <w:rtl w:val="true"/>
        </w:rPr>
        <w:t xml:space="preserve">, </w:t>
      </w:r>
      <w:r>
        <w:rPr>
          <w:rtl w:val="true"/>
        </w:rPr>
        <w:t>לכיוון מכולת הסמוכה לבית אביה</w:t>
      </w:r>
      <w:r>
        <w:rPr>
          <w:rtl w:val="true"/>
        </w:rPr>
        <w:t xml:space="preserve">. </w:t>
      </w:r>
      <w:r>
        <w:rPr>
          <w:rtl w:val="true"/>
        </w:rPr>
        <w:t>אותה העת עבר במקום הנאשם ברכבו</w:t>
      </w:r>
      <w:r>
        <w:rPr>
          <w:rtl w:val="true"/>
        </w:rPr>
        <w:t xml:space="preserve">, </w:t>
      </w:r>
      <w:r>
        <w:rPr>
          <w:rtl w:val="true"/>
        </w:rPr>
        <w:t>הבחין במתלוננת</w:t>
      </w:r>
      <w:r>
        <w:rPr>
          <w:rtl w:val="true"/>
        </w:rPr>
        <w:t xml:space="preserve">, </w:t>
      </w:r>
      <w:r>
        <w:rPr>
          <w:rtl w:val="true"/>
        </w:rPr>
        <w:t>עצר בסמוך למדרכה</w:t>
      </w:r>
      <w:r>
        <w:rPr>
          <w:rtl w:val="true"/>
        </w:rPr>
        <w:t xml:space="preserve">, </w:t>
      </w:r>
      <w:r>
        <w:rPr>
          <w:rtl w:val="true"/>
        </w:rPr>
        <w:t>ופתח את הדלת הימנית של רכבו</w:t>
      </w:r>
      <w:r>
        <w:rPr>
          <w:rtl w:val="true"/>
        </w:rPr>
        <w:t xml:space="preserve">. </w:t>
      </w:r>
      <w:r>
        <w:rPr>
          <w:rtl w:val="true"/>
        </w:rPr>
        <w:t>לאחר שסירבה המתלוננת לבקשתו לקנות לו מצרכים שונים</w:t>
      </w:r>
      <w:r>
        <w:rPr>
          <w:rtl w:val="true"/>
        </w:rPr>
        <w:t xml:space="preserve">, </w:t>
      </w:r>
      <w:r>
        <w:rPr>
          <w:rtl w:val="true"/>
        </w:rPr>
        <w:t>הכניס הנאשם את המתלוננת לרכב בניגוד לרצונה</w:t>
      </w:r>
      <w:r>
        <w:rPr>
          <w:rtl w:val="true"/>
        </w:rPr>
        <w:t xml:space="preserve">, </w:t>
      </w:r>
      <w:r>
        <w:rPr>
          <w:rtl w:val="true"/>
        </w:rPr>
        <w:t>הושיב אותה במושב שליד הנהג</w:t>
      </w:r>
      <w:r>
        <w:rPr>
          <w:rtl w:val="true"/>
        </w:rPr>
        <w:t xml:space="preserve">, </w:t>
      </w:r>
      <w:r>
        <w:rPr>
          <w:rtl w:val="true"/>
        </w:rPr>
        <w:t>וסגר את הדלת</w:t>
      </w:r>
      <w:r>
        <w:rPr>
          <w:rtl w:val="true"/>
        </w:rPr>
        <w:t xml:space="preserve">. </w:t>
      </w:r>
      <w:r>
        <w:rPr>
          <w:rtl w:val="true"/>
        </w:rPr>
        <w:t>הנאשם הציע למתלוננת סכומי כסף שונים</w:t>
      </w:r>
      <w:r>
        <w:rPr>
          <w:rtl w:val="true"/>
        </w:rPr>
        <w:t xml:space="preserve">, </w:t>
      </w:r>
      <w:r>
        <w:rPr>
          <w:rtl w:val="true"/>
        </w:rPr>
        <w:t>והיא סירבה לקבלם</w:t>
      </w:r>
      <w:r>
        <w:rPr>
          <w:rtl w:val="true"/>
        </w:rPr>
        <w:t xml:space="preserve">. </w:t>
      </w:r>
      <w:r>
        <w:rPr>
          <w:rtl w:val="true"/>
        </w:rPr>
        <w:t>לאחר מכן הורה הנאשם למתלוננת לעצום את עיניה</w:t>
      </w:r>
      <w:r>
        <w:rPr>
          <w:rtl w:val="true"/>
        </w:rPr>
        <w:t xml:space="preserve">, </w:t>
      </w:r>
      <w:r>
        <w:rPr>
          <w:rtl w:val="true"/>
        </w:rPr>
        <w:t>והוא הרים את חולצתה עד מעל לחזה והביט בו בניגוד לרצונה</w:t>
      </w:r>
      <w:r>
        <w:rPr>
          <w:rtl w:val="true"/>
        </w:rPr>
        <w:t xml:space="preserve">, </w:t>
      </w:r>
      <w:r>
        <w:rPr>
          <w:rtl w:val="true"/>
        </w:rPr>
        <w:t>ללא הסכמתה ולשם גירויו המיני</w:t>
      </w:r>
      <w:r>
        <w:rPr>
          <w:rtl w:val="true"/>
        </w:rPr>
        <w:t xml:space="preserve">. </w:t>
      </w:r>
      <w:r>
        <w:rPr>
          <w:rtl w:val="true"/>
        </w:rPr>
        <w:t>המתלוננת פרצה בבכי ובקשה מהנאשם שיעזוב אותה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בהמשך הורה הנאשם למתלוננת לקום על רגליה</w:t>
      </w:r>
      <w:r>
        <w:rPr>
          <w:rtl w:val="true"/>
        </w:rPr>
        <w:t xml:space="preserve">, </w:t>
      </w:r>
      <w:r>
        <w:rPr>
          <w:rtl w:val="true"/>
        </w:rPr>
        <w:t>והיא כדבריו</w:t>
      </w:r>
      <w:r>
        <w:rPr>
          <w:rtl w:val="true"/>
        </w:rPr>
        <w:t xml:space="preserve">, </w:t>
      </w:r>
      <w:r>
        <w:rPr>
          <w:rtl w:val="true"/>
        </w:rPr>
        <w:t>נעמדה כשהיא נשענת קדימה</w:t>
      </w:r>
      <w:r>
        <w:rPr>
          <w:rtl w:val="true"/>
        </w:rPr>
        <w:t xml:space="preserve">, </w:t>
      </w:r>
      <w:r>
        <w:rPr>
          <w:rtl w:val="true"/>
        </w:rPr>
        <w:t>על הדשבורד</w:t>
      </w:r>
      <w:r>
        <w:rPr>
          <w:rtl w:val="true"/>
        </w:rPr>
        <w:t xml:space="preserve">. </w:t>
      </w:r>
      <w:r>
        <w:rPr>
          <w:rtl w:val="true"/>
        </w:rPr>
        <w:t>הנאשם הרים את חצאיתה של המתלוננת</w:t>
      </w:r>
      <w:r>
        <w:rPr>
          <w:rtl w:val="true"/>
        </w:rPr>
        <w:t xml:space="preserve">, </w:t>
      </w:r>
      <w:r>
        <w:rPr>
          <w:rtl w:val="true"/>
        </w:rPr>
        <w:t>החדיר את ידו אל מתחת למכנסיה ולתחתוניה של המתלוננת</w:t>
      </w:r>
      <w:r>
        <w:rPr>
          <w:rtl w:val="true"/>
        </w:rPr>
        <w:t xml:space="preserve">, </w:t>
      </w:r>
      <w:r>
        <w:rPr>
          <w:rtl w:val="true"/>
        </w:rPr>
        <w:t>והצמיד לישבנה שטר כסף</w:t>
      </w:r>
      <w:r>
        <w:rPr>
          <w:rtl w:val="true"/>
        </w:rPr>
        <w:t xml:space="preserve">, </w:t>
      </w:r>
      <w:r>
        <w:rPr>
          <w:rtl w:val="true"/>
        </w:rPr>
        <w:t>הכל בניגוד לרצונה</w:t>
      </w:r>
      <w:r>
        <w:rPr>
          <w:rtl w:val="true"/>
        </w:rPr>
        <w:t xml:space="preserve">, </w:t>
      </w:r>
      <w:r>
        <w:rPr>
          <w:rtl w:val="true"/>
        </w:rPr>
        <w:t>ללא הסכמתה ולשם גירויו המיני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עבר במקום אחיה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94</w:t>
      </w:r>
      <w:r>
        <w:rPr>
          <w:rtl w:val="true"/>
        </w:rPr>
        <w:t xml:space="preserve">, </w:t>
      </w:r>
      <w:r>
        <w:rPr>
          <w:rtl w:val="true"/>
        </w:rPr>
        <w:t>אשר הבחין בה יושבת ברכב זר</w:t>
      </w:r>
      <w:r>
        <w:rPr>
          <w:rtl w:val="true"/>
        </w:rPr>
        <w:t xml:space="preserve">. </w:t>
      </w:r>
      <w:r>
        <w:rPr>
          <w:rtl w:val="true"/>
        </w:rPr>
        <w:t>משהבחין הנאשם באח</w:t>
      </w:r>
      <w:r>
        <w:rPr>
          <w:rtl w:val="true"/>
        </w:rPr>
        <w:t xml:space="preserve">, </w:t>
      </w:r>
      <w:r>
        <w:rPr>
          <w:rtl w:val="true"/>
        </w:rPr>
        <w:t>חדל ממעשיו</w:t>
      </w:r>
      <w:r>
        <w:rPr>
          <w:rtl w:val="true"/>
        </w:rPr>
        <w:t xml:space="preserve">, </w:t>
      </w:r>
      <w:r>
        <w:rPr>
          <w:rtl w:val="true"/>
        </w:rPr>
        <w:t>האח פתח את הדלת והוציא את המתלוננת מהרכב והנאשם נמלט מהמקום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 המתוקן בתיק הנוסף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ביום </w:t>
      </w:r>
      <w:r>
        <w:rPr>
          <w:u w:val="single"/>
        </w:rPr>
        <w:t>08.10.06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11:00</w:t>
      </w:r>
      <w:r>
        <w:rPr>
          <w:rtl w:val="true"/>
        </w:rPr>
        <w:t xml:space="preserve">, </w:t>
      </w:r>
      <w:r>
        <w:rPr>
          <w:rtl w:val="true"/>
        </w:rPr>
        <w:t xml:space="preserve">המתינה המתלוננת ילידת </w:t>
      </w:r>
      <w:r>
        <w:rPr/>
        <w:t>1953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המתלוננת השנייה</w:t>
      </w:r>
      <w:r>
        <w:rPr>
          <w:rtl w:val="true"/>
        </w:rPr>
        <w:t xml:space="preserve">") </w:t>
      </w:r>
      <w:r>
        <w:rPr>
          <w:rtl w:val="true"/>
        </w:rPr>
        <w:t>בתחנת אוטובוס</w:t>
      </w:r>
      <w:r>
        <w:rPr>
          <w:rtl w:val="true"/>
        </w:rPr>
        <w:t xml:space="preserve">. </w:t>
      </w:r>
      <w:r>
        <w:rPr>
          <w:rtl w:val="true"/>
        </w:rPr>
        <w:t>בסמוך לכך</w:t>
      </w:r>
      <w:r>
        <w:rPr>
          <w:rtl w:val="true"/>
        </w:rPr>
        <w:t xml:space="preserve">, </w:t>
      </w:r>
      <w:r>
        <w:rPr>
          <w:rtl w:val="true"/>
        </w:rPr>
        <w:t>עבר הנאשם עם מכוניתו</w:t>
      </w:r>
      <w:r>
        <w:rPr>
          <w:rtl w:val="true"/>
        </w:rPr>
        <w:t xml:space="preserve">, </w:t>
      </w:r>
      <w:r>
        <w:rPr>
          <w:rtl w:val="true"/>
        </w:rPr>
        <w:t>ומשהבחין במתלוננת השנייה עצר ושאל אותה להיכן היא מעוניינת להגיע</w:t>
      </w:r>
      <w:r>
        <w:rPr>
          <w:rtl w:val="true"/>
        </w:rPr>
        <w:t xml:space="preserve">, </w:t>
      </w:r>
      <w:r>
        <w:rPr>
          <w:rtl w:val="true"/>
        </w:rPr>
        <w:t>ולאחר שענתה</w:t>
      </w:r>
      <w:r>
        <w:rPr>
          <w:rtl w:val="true"/>
        </w:rPr>
        <w:t xml:space="preserve">, </w:t>
      </w:r>
      <w:r>
        <w:rPr>
          <w:rtl w:val="true"/>
        </w:rPr>
        <w:t>הציע לה כי יסיע אותה לשם</w:t>
      </w:r>
      <w:r>
        <w:rPr>
          <w:rtl w:val="true"/>
        </w:rPr>
        <w:t xml:space="preserve">. </w:t>
      </w:r>
      <w:r>
        <w:rPr>
          <w:rtl w:val="true"/>
        </w:rPr>
        <w:t>הנאשם שוחח עם המתלוננת השנייה תוך כדי נסיעתו</w:t>
      </w:r>
      <w:r>
        <w:rPr>
          <w:rtl w:val="true"/>
        </w:rPr>
        <w:t xml:space="preserve">, </w:t>
      </w:r>
      <w:r>
        <w:rPr>
          <w:rtl w:val="true"/>
        </w:rPr>
        <w:t>ובמהלך הדרך פנה לשביל עפר המוביל למטע זיתים</w:t>
      </w:r>
      <w:r>
        <w:rPr>
          <w:rtl w:val="true"/>
        </w:rPr>
        <w:t xml:space="preserve">, </w:t>
      </w:r>
      <w:r>
        <w:rPr>
          <w:rtl w:val="true"/>
        </w:rPr>
        <w:t>כשהוא משקר למתלוננת השנייה</w:t>
      </w:r>
      <w:r>
        <w:rPr>
          <w:rtl w:val="true"/>
        </w:rPr>
        <w:t xml:space="preserve">, </w:t>
      </w:r>
      <w:r>
        <w:rPr>
          <w:rtl w:val="true"/>
        </w:rPr>
        <w:t>ואומר שהוא עושה כן היות והמטע בבעלותו והוא מעוניין לבדוק מה שלום הפועלים שלו</w:t>
      </w:r>
      <w:r>
        <w:rPr>
          <w:rtl w:val="true"/>
        </w:rPr>
        <w:t xml:space="preserve">. </w:t>
      </w:r>
      <w:r>
        <w:rPr>
          <w:rtl w:val="true"/>
        </w:rPr>
        <w:t>בהגיעו ללב המטע</w:t>
      </w:r>
      <w:r>
        <w:rPr>
          <w:rtl w:val="true"/>
        </w:rPr>
        <w:t xml:space="preserve">, </w:t>
      </w:r>
      <w:r>
        <w:rPr>
          <w:rtl w:val="true"/>
        </w:rPr>
        <w:t>יצא הנאשם מהרכב</w:t>
      </w:r>
      <w:r>
        <w:rPr>
          <w:rtl w:val="true"/>
        </w:rPr>
        <w:t xml:space="preserve">, </w:t>
      </w:r>
      <w:r>
        <w:rPr>
          <w:rtl w:val="true"/>
        </w:rPr>
        <w:t>והורה למתלוננת השנייה</w:t>
      </w:r>
      <w:r>
        <w:rPr>
          <w:rtl w:val="true"/>
        </w:rPr>
        <w:t xml:space="preserve">, </w:t>
      </w:r>
      <w:r>
        <w:rPr>
          <w:rtl w:val="true"/>
        </w:rPr>
        <w:t>לצאת מן הרכב</w:t>
      </w:r>
      <w:r>
        <w:rPr>
          <w:rtl w:val="true"/>
        </w:rPr>
        <w:t xml:space="preserve">, </w:t>
      </w:r>
      <w:r>
        <w:rPr>
          <w:rtl w:val="true"/>
        </w:rPr>
        <w:t>היא סירבה</w:t>
      </w:r>
      <w:r>
        <w:rPr>
          <w:rtl w:val="true"/>
        </w:rPr>
        <w:t xml:space="preserve">, </w:t>
      </w:r>
      <w:r>
        <w:rPr>
          <w:rtl w:val="true"/>
        </w:rPr>
        <w:t>ולאחר שצעק עליה</w:t>
      </w:r>
      <w:r>
        <w:rPr>
          <w:rtl w:val="true"/>
        </w:rPr>
        <w:t xml:space="preserve">, </w:t>
      </w:r>
      <w:r>
        <w:rPr>
          <w:rtl w:val="true"/>
        </w:rPr>
        <w:t>יצאה המתלוננת השנייה תוך שהיא מנסה לשדלו לחזור נתיב הנסיעה המקורי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הנאשם סירב לבקשותיה</w:t>
      </w:r>
      <w:r>
        <w:rPr>
          <w:rtl w:val="true"/>
        </w:rPr>
        <w:t xml:space="preserve">, </w:t>
      </w:r>
      <w:r>
        <w:rPr>
          <w:rtl w:val="true"/>
        </w:rPr>
        <w:t>וכשזו נכנסה לרכב וניסתה לקחת מהרכב מסמך המזהה את הנאשם</w:t>
      </w:r>
      <w:r>
        <w:rPr>
          <w:rtl w:val="true"/>
        </w:rPr>
        <w:t xml:space="preserve">, </w:t>
      </w:r>
      <w:r>
        <w:rPr>
          <w:rtl w:val="true"/>
        </w:rPr>
        <w:t>ניגש אליה הנאשם וחטף את המסמך</w:t>
      </w:r>
      <w:r>
        <w:rPr>
          <w:rtl w:val="true"/>
        </w:rPr>
        <w:t xml:space="preserve">. </w:t>
      </w:r>
      <w:r>
        <w:rPr>
          <w:rtl w:val="true"/>
        </w:rPr>
        <w:t>הנאשם צעק על המתלוננת השנייה לצאת מהרכב</w:t>
      </w:r>
      <w:r>
        <w:rPr>
          <w:rtl w:val="true"/>
        </w:rPr>
        <w:t xml:space="preserve">, </w:t>
      </w:r>
      <w:r>
        <w:rPr>
          <w:rtl w:val="true"/>
        </w:rPr>
        <w:t>כשהוא מחזיק בה בכוח</w:t>
      </w:r>
      <w:r>
        <w:rPr>
          <w:rtl w:val="true"/>
        </w:rPr>
        <w:t xml:space="preserve">, </w:t>
      </w:r>
      <w:r>
        <w:rPr>
          <w:rtl w:val="true"/>
        </w:rPr>
        <w:t>ותוך כדי כך נצמד לגופה מהצד</w:t>
      </w:r>
      <w:r>
        <w:rPr>
          <w:rtl w:val="true"/>
        </w:rPr>
        <w:t xml:space="preserve">, </w:t>
      </w:r>
      <w:r>
        <w:rPr>
          <w:rtl w:val="true"/>
        </w:rPr>
        <w:t>ומושך את ידה לעבר איבר מינו</w:t>
      </w:r>
      <w:r>
        <w:rPr>
          <w:rtl w:val="true"/>
        </w:rPr>
        <w:t xml:space="preserve">. </w:t>
      </w:r>
      <w:r>
        <w:rPr>
          <w:rtl w:val="true"/>
        </w:rPr>
        <w:t>לאחר מכן פתח הנאשם את מכנסיו</w:t>
      </w:r>
      <w:r>
        <w:rPr>
          <w:rtl w:val="true"/>
        </w:rPr>
        <w:t xml:space="preserve">, </w:t>
      </w:r>
      <w:r>
        <w:rPr>
          <w:rtl w:val="true"/>
        </w:rPr>
        <w:t>הוציא את איבר מינו ודרש מהמתלוננת השנייה לגעת בו</w:t>
      </w:r>
      <w:r>
        <w:rPr>
          <w:rtl w:val="true"/>
        </w:rPr>
        <w:t xml:space="preserve">. </w:t>
      </w:r>
      <w:r>
        <w:rPr>
          <w:rtl w:val="true"/>
        </w:rPr>
        <w:t>תוך כדי ולאחר שהמתלוננת השנייה סירבה</w:t>
      </w:r>
      <w:r>
        <w:rPr>
          <w:rtl w:val="true"/>
        </w:rPr>
        <w:t xml:space="preserve">, </w:t>
      </w:r>
      <w:r>
        <w:rPr>
          <w:rtl w:val="true"/>
        </w:rPr>
        <w:t>נגע הנאשם בכוח בחזה של המתלוננת השנייה</w:t>
      </w:r>
      <w:r>
        <w:rPr>
          <w:rtl w:val="true"/>
        </w:rPr>
        <w:t xml:space="preserve">, </w:t>
      </w:r>
      <w:r>
        <w:rPr>
          <w:rtl w:val="true"/>
        </w:rPr>
        <w:t>למרות צעקותיה ובכייה של המתלוננת השנייה</w:t>
      </w:r>
      <w:r>
        <w:rPr>
          <w:rtl w:val="true"/>
        </w:rPr>
        <w:t xml:space="preserve">. </w:t>
      </w:r>
      <w:r>
        <w:rPr>
          <w:rtl w:val="true"/>
        </w:rPr>
        <w:t>הנאשם ניסה לנשק את המתלוננת השנייה בפיה</w:t>
      </w:r>
      <w:r>
        <w:rPr>
          <w:rtl w:val="true"/>
        </w:rPr>
        <w:t xml:space="preserve">, </w:t>
      </w:r>
      <w:r>
        <w:rPr>
          <w:rtl w:val="true"/>
        </w:rPr>
        <w:t>למרות התנגדותה</w:t>
      </w:r>
      <w:r>
        <w:rPr>
          <w:rtl w:val="true"/>
        </w:rPr>
        <w:t xml:space="preserve">, </w:t>
      </w:r>
      <w:r>
        <w:rPr>
          <w:rtl w:val="true"/>
        </w:rPr>
        <w:t>ושאל אותה על איבר מינו כשהוא כל העת אוחז בה ונוגע בגופה</w:t>
      </w:r>
      <w:r>
        <w:rPr>
          <w:rtl w:val="true"/>
        </w:rPr>
        <w:t xml:space="preserve">. </w:t>
      </w:r>
      <w:r>
        <w:rPr>
          <w:rtl w:val="true"/>
        </w:rPr>
        <w:t>הנאשם החזיק במתלוננת ביד אחת וביד אחרת נגע באיבר מינו עד הגיעו לסיפוק</w:t>
      </w:r>
      <w:r>
        <w:rPr>
          <w:rtl w:val="true"/>
        </w:rPr>
        <w:t xml:space="preserve">. </w:t>
      </w:r>
      <w:r>
        <w:rPr>
          <w:rtl w:val="true"/>
        </w:rPr>
        <w:t>כל זאת עשה הנאשם לשם גירוי סיפוק וביזוי מיניים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בפחדה מהנאשם</w:t>
      </w:r>
      <w:r>
        <w:rPr>
          <w:rtl w:val="true"/>
        </w:rPr>
        <w:t xml:space="preserve">, </w:t>
      </w:r>
      <w:r>
        <w:rPr>
          <w:rtl w:val="true"/>
        </w:rPr>
        <w:t>ניסתה המתלוננת השנייה לדבר על ליבו על מנת שיאות לקחת אותה לתחנת הדלק הסמוכה</w:t>
      </w:r>
      <w:r>
        <w:rPr>
          <w:rtl w:val="true"/>
        </w:rPr>
        <w:t xml:space="preserve">, </w:t>
      </w:r>
      <w:r>
        <w:rPr>
          <w:rtl w:val="true"/>
        </w:rPr>
        <w:t>והוא מנגד החל ללטף את רגליה ולשאול אותה על תחתוניה</w:t>
      </w:r>
      <w:r>
        <w:rPr>
          <w:rtl w:val="true"/>
        </w:rPr>
        <w:t xml:space="preserve">. </w:t>
      </w:r>
      <w:r>
        <w:rPr>
          <w:rtl w:val="true"/>
        </w:rPr>
        <w:t>אף כי החל בנסיעה חזרה לעבר תחנת הדלק הסמוכה</w:t>
      </w:r>
      <w:r>
        <w:rPr>
          <w:rtl w:val="true"/>
        </w:rPr>
        <w:t xml:space="preserve">, </w:t>
      </w:r>
      <w:r>
        <w:rPr>
          <w:rtl w:val="true"/>
        </w:rPr>
        <w:t>עצר הנאשם שוב לפתע את הרכב</w:t>
      </w:r>
      <w:r>
        <w:rPr>
          <w:rtl w:val="true"/>
        </w:rPr>
        <w:t xml:space="preserve">, </w:t>
      </w:r>
      <w:r>
        <w:rPr>
          <w:rtl w:val="true"/>
        </w:rPr>
        <w:t>והצהיר כי הוא מעוניין שוב להגיע לסיפוקו</w:t>
      </w:r>
      <w:r>
        <w:rPr>
          <w:rtl w:val="true"/>
        </w:rPr>
        <w:t xml:space="preserve">. </w:t>
      </w:r>
      <w:r>
        <w:rPr>
          <w:rtl w:val="true"/>
        </w:rPr>
        <w:t>המתלוננת השנייה</w:t>
      </w:r>
      <w:r>
        <w:rPr>
          <w:rtl w:val="true"/>
        </w:rPr>
        <w:t xml:space="preserve">, </w:t>
      </w:r>
      <w:r>
        <w:rPr>
          <w:rtl w:val="true"/>
        </w:rPr>
        <w:t>התחננה בפני הנאשם כי יניח לה</w:t>
      </w:r>
      <w:r>
        <w:rPr>
          <w:rtl w:val="true"/>
        </w:rPr>
        <w:t xml:space="preserve">, </w:t>
      </w:r>
      <w:r>
        <w:rPr>
          <w:rtl w:val="true"/>
        </w:rPr>
        <w:t>ולאחר שלא הצליחה לפתוח את דלתות הרכב מבפנים</w:t>
      </w:r>
      <w:r>
        <w:rPr>
          <w:rtl w:val="true"/>
        </w:rPr>
        <w:t xml:space="preserve">, </w:t>
      </w:r>
      <w:r>
        <w:rPr>
          <w:rtl w:val="true"/>
        </w:rPr>
        <w:t>הוציאה ידה מעבר לחלון</w:t>
      </w:r>
      <w:r>
        <w:rPr>
          <w:rtl w:val="true"/>
        </w:rPr>
        <w:t xml:space="preserve">, </w:t>
      </w:r>
      <w:r>
        <w:rPr>
          <w:rtl w:val="true"/>
        </w:rPr>
        <w:t>פתחה את דלת הרכב וברחה בריצה מהמקום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תסקירי שירות המבחן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rtl w:val="true"/>
        </w:rPr>
        <w:t xml:space="preserve">תסקיר שירות המבחן מיום </w:t>
      </w:r>
      <w:r>
        <w:rPr>
          <w:b/>
          <w:bCs/>
        </w:rPr>
        <w:t>13.07.10</w:t>
      </w:r>
      <w:r>
        <w:rPr>
          <w:rtl w:val="true"/>
        </w:rPr>
        <w:t xml:space="preserve">, </w:t>
      </w:r>
      <w:r>
        <w:rPr>
          <w:rtl w:val="true"/>
        </w:rPr>
        <w:t xml:space="preserve">מלמד כי הנאשם בן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ילדים בגילאים </w:t>
      </w:r>
      <w:r>
        <w:rPr/>
        <w:t>21-33</w:t>
      </w:r>
      <w:r>
        <w:rPr>
          <w:rtl w:val="true"/>
        </w:rPr>
        <w:t xml:space="preserve">, </w:t>
      </w:r>
      <w:r>
        <w:rPr>
          <w:rtl w:val="true"/>
        </w:rPr>
        <w:t xml:space="preserve">אינו עובד מזה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ומתקיים מקצבת הבטחת הכנסה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עקב כאבים חזקים בגבו</w:t>
      </w:r>
      <w:r>
        <w:rPr>
          <w:rtl w:val="true"/>
        </w:rPr>
        <w:t xml:space="preserve">, </w:t>
      </w:r>
      <w:r>
        <w:rPr>
          <w:rtl w:val="true"/>
        </w:rPr>
        <w:t>כשטרם לכך עבד בבניין למעלה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התסקיר התייחס גם להערכת המסוכנות</w:t>
      </w:r>
      <w:r>
        <w:rPr>
          <w:rtl w:val="true"/>
        </w:rPr>
        <w:t xml:space="preserve">, </w:t>
      </w:r>
      <w:r>
        <w:rPr>
          <w:rtl w:val="true"/>
        </w:rPr>
        <w:t>כפי שתוצג להלן</w:t>
      </w:r>
      <w:r>
        <w:rPr>
          <w:rtl w:val="true"/>
        </w:rPr>
        <w:t xml:space="preserve">. </w:t>
      </w:r>
      <w:r>
        <w:rPr>
          <w:rtl w:val="true"/>
        </w:rPr>
        <w:t>קצינת המבחן ציינה בתסקיר</w:t>
      </w:r>
      <w:r>
        <w:rPr>
          <w:rtl w:val="true"/>
        </w:rPr>
        <w:t xml:space="preserve">, </w:t>
      </w:r>
      <w:r>
        <w:rPr>
          <w:rtl w:val="true"/>
        </w:rPr>
        <w:t>כי הנאשם</w:t>
      </w:r>
      <w:r>
        <w:rPr>
          <w:rtl w:val="true"/>
        </w:rPr>
        <w:t xml:space="preserve">, </w:t>
      </w:r>
      <w:r>
        <w:rPr>
          <w:rtl w:val="true"/>
        </w:rPr>
        <w:t>לא הגיע לשתי פגישות נוספות שנקבעו עמו</w:t>
      </w:r>
      <w:r>
        <w:rPr>
          <w:rtl w:val="true"/>
        </w:rPr>
        <w:t xml:space="preserve">, </w:t>
      </w:r>
      <w:r>
        <w:rPr>
          <w:rtl w:val="true"/>
        </w:rPr>
        <w:t>לפגישה הראשונה</w:t>
      </w:r>
      <w:r>
        <w:rPr>
          <w:rtl w:val="true"/>
        </w:rPr>
        <w:t xml:space="preserve">, </w:t>
      </w:r>
      <w:r>
        <w:rPr>
          <w:rtl w:val="true"/>
        </w:rPr>
        <w:t>בשל סיבה רפואית ולפגישה השנייה בשל מעצרו בתיק הנוסף</w:t>
      </w:r>
      <w:r>
        <w:rPr>
          <w:rtl w:val="true"/>
        </w:rPr>
        <w:t xml:space="preserve">, </w:t>
      </w:r>
      <w:r>
        <w:rPr>
          <w:rtl w:val="true"/>
        </w:rPr>
        <w:t>באופן שלא אפשר להם לגבש כל המלצה בעניינו</w:t>
      </w:r>
      <w:r>
        <w:rPr>
          <w:rtl w:val="true"/>
        </w:rPr>
        <w:t xml:space="preserve">, </w:t>
      </w:r>
      <w:r>
        <w:rPr>
          <w:rtl w:val="true"/>
        </w:rPr>
        <w:t>ועל כן נדחה הדיון שנקבע בתיק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rtl w:val="true"/>
        </w:rPr>
        <w:t xml:space="preserve">תסקיר משלים מיום </w:t>
      </w:r>
      <w:r>
        <w:rPr>
          <w:b/>
          <w:bCs/>
        </w:rPr>
        <w:t>16.09.10</w:t>
      </w:r>
      <w:r>
        <w:rPr>
          <w:rtl w:val="true"/>
        </w:rPr>
        <w:t xml:space="preserve">, </w:t>
      </w:r>
      <w:r>
        <w:rPr>
          <w:rtl w:val="true"/>
        </w:rPr>
        <w:t>מתייחס לזוגיות הנאשם</w:t>
      </w:r>
      <w:r>
        <w:rPr>
          <w:rtl w:val="true"/>
        </w:rPr>
        <w:t xml:space="preserve">, </w:t>
      </w:r>
      <w:r>
        <w:rPr>
          <w:rtl w:val="true"/>
        </w:rPr>
        <w:t>ומעמדו הדומיננטי בביתו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ובהקשר לעבירה נשוא כתב האישום המתוקן</w:t>
      </w:r>
      <w:r>
        <w:rPr>
          <w:rtl w:val="true"/>
        </w:rPr>
        <w:t xml:space="preserve">, </w:t>
      </w:r>
      <w:r>
        <w:rPr>
          <w:rtl w:val="true"/>
        </w:rPr>
        <w:t>צוין כי הנאשם מתקשה לקחת אחריות מלאה על ביצועה</w:t>
      </w:r>
      <w:r>
        <w:rPr>
          <w:rtl w:val="true"/>
        </w:rPr>
        <w:t xml:space="preserve">. </w:t>
      </w:r>
      <w:r>
        <w:rPr>
          <w:rtl w:val="true"/>
        </w:rPr>
        <w:t>הוא נוטה להשליך על הקורבן את האחריות על התנהלותו</w:t>
      </w:r>
      <w:r>
        <w:rPr>
          <w:rtl w:val="true"/>
        </w:rPr>
        <w:t xml:space="preserve">, </w:t>
      </w:r>
      <w:r>
        <w:rPr>
          <w:rtl w:val="true"/>
        </w:rPr>
        <w:t>ומכחיש כל כוונה מינית במעשיו לדבריו</w:t>
      </w:r>
      <w:r>
        <w:rPr>
          <w:rtl w:val="true"/>
        </w:rPr>
        <w:t xml:space="preserve">, </w:t>
      </w:r>
      <w:r>
        <w:rPr>
          <w:rtl w:val="true"/>
        </w:rPr>
        <w:t>הוא ביקש מהנערה לקנות עבורו מים במכלות</w:t>
      </w:r>
      <w:r>
        <w:rPr>
          <w:rtl w:val="true"/>
        </w:rPr>
        <w:t xml:space="preserve">, </w:t>
      </w:r>
      <w:r>
        <w:rPr>
          <w:rtl w:val="true"/>
        </w:rPr>
        <w:t>והיא זו שביקשה שישים כסף בכיס האחורי במכנסיה</w:t>
      </w:r>
      <w:r>
        <w:rPr>
          <w:rtl w:val="true"/>
        </w:rPr>
        <w:t xml:space="preserve">. </w:t>
      </w:r>
      <w:r>
        <w:rPr>
          <w:rtl w:val="true"/>
        </w:rPr>
        <w:t>הנאשם מכחיש כל מגע אחר עימה</w:t>
      </w:r>
      <w:r>
        <w:rPr>
          <w:rtl w:val="true"/>
        </w:rPr>
        <w:t xml:space="preserve">, </w:t>
      </w:r>
      <w:r>
        <w:rPr>
          <w:rtl w:val="true"/>
        </w:rPr>
        <w:t>התמקד במחיר שהוא משלם על כך ש</w:t>
      </w:r>
      <w:r>
        <w:rPr>
          <w:rtl w:val="true"/>
        </w:rPr>
        <w:t>"</w:t>
      </w:r>
      <w:r>
        <w:rPr>
          <w:rtl w:val="true"/>
        </w:rPr>
        <w:t>נענה</w:t>
      </w:r>
      <w:r>
        <w:rPr>
          <w:rtl w:val="true"/>
        </w:rPr>
        <w:t xml:space="preserve">"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הוא לא גילה כל אמפתיה כלפי הנפגעת ולא היה מחובר לפגיעה בה</w:t>
      </w:r>
      <w:r>
        <w:rPr>
          <w:rtl w:val="true"/>
        </w:rPr>
        <w:t xml:space="preserve">. </w:t>
      </w:r>
      <w:r>
        <w:rPr>
          <w:rtl w:val="true"/>
        </w:rPr>
        <w:t>בהמשך לדברים אלו</w:t>
      </w:r>
      <w:r>
        <w:rPr>
          <w:rtl w:val="true"/>
        </w:rPr>
        <w:t xml:space="preserve">, </w:t>
      </w:r>
      <w:r>
        <w:rPr>
          <w:rtl w:val="true"/>
        </w:rPr>
        <w:t>הנאשם לא גילה כל נזקקות טיפולית בתחום כלשהו בחייו</w:t>
      </w:r>
      <w:r>
        <w:rPr>
          <w:rtl w:val="true"/>
        </w:rPr>
        <w:t xml:space="preserve">, </w:t>
      </w:r>
      <w:r>
        <w:rPr>
          <w:rtl w:val="true"/>
        </w:rPr>
        <w:t>והכחיש</w:t>
      </w:r>
      <w:r>
        <w:rPr>
          <w:rtl w:val="true"/>
        </w:rPr>
        <w:t xml:space="preserve">, </w:t>
      </w:r>
      <w:r>
        <w:rPr>
          <w:rtl w:val="true"/>
        </w:rPr>
        <w:t>נכון למועד הפגישה</w:t>
      </w:r>
      <w:r>
        <w:rPr>
          <w:rtl w:val="true"/>
        </w:rPr>
        <w:t xml:space="preserve">, </w:t>
      </w:r>
      <w:r>
        <w:rPr>
          <w:rtl w:val="true"/>
        </w:rPr>
        <w:t>את מעורבותו בתיק הנוסף המיוחס לו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עיון במרשם הפלילי של הנאשם</w:t>
      </w:r>
      <w:r>
        <w:rPr>
          <w:rtl w:val="true"/>
        </w:rPr>
        <w:t xml:space="preserve">, </w:t>
      </w:r>
      <w:r>
        <w:rPr>
          <w:rtl w:val="true"/>
        </w:rPr>
        <w:t>מעלה כי הוא הורשע בעבר בתקיפת שוטרים</w:t>
      </w:r>
      <w:r>
        <w:rPr>
          <w:rtl w:val="true"/>
        </w:rPr>
        <w:t xml:space="preserve">, </w:t>
      </w:r>
      <w:r>
        <w:rPr>
          <w:rtl w:val="true"/>
        </w:rPr>
        <w:t>בעבירות רכוש</w:t>
      </w:r>
      <w:r>
        <w:rPr>
          <w:rtl w:val="true"/>
        </w:rPr>
        <w:t xml:space="preserve">, </w:t>
      </w:r>
      <w:r>
        <w:rPr>
          <w:rtl w:val="true"/>
        </w:rPr>
        <w:t>שיבוש מהלכי משפט ומטווחי קליעה ללא רישיון</w:t>
      </w:r>
      <w:r>
        <w:rPr>
          <w:rtl w:val="true"/>
        </w:rPr>
        <w:t xml:space="preserve">. </w:t>
      </w:r>
      <w:r>
        <w:rPr>
          <w:rtl w:val="true"/>
        </w:rPr>
        <w:t>התייחסותו של הנאשם למעורבותו בפלילים הייתה</w:t>
      </w:r>
      <w:r>
        <w:rPr>
          <w:rtl w:val="true"/>
        </w:rPr>
        <w:t xml:space="preserve">, </w:t>
      </w:r>
      <w:r>
        <w:rPr>
          <w:rtl w:val="true"/>
        </w:rPr>
        <w:t>על פי קצינת המבחן</w:t>
      </w:r>
      <w:r>
        <w:rPr>
          <w:rtl w:val="true"/>
        </w:rPr>
        <w:t xml:space="preserve">, </w:t>
      </w:r>
      <w:r>
        <w:rPr>
          <w:rtl w:val="true"/>
        </w:rPr>
        <w:t>מניפולטיבית</w:t>
      </w:r>
      <w:r>
        <w:rPr>
          <w:rtl w:val="true"/>
        </w:rPr>
        <w:t xml:space="preserve">, </w:t>
      </w:r>
      <w:r>
        <w:rPr>
          <w:rtl w:val="true"/>
        </w:rPr>
        <w:t>מזער בהם את חלקו</w:t>
      </w:r>
      <w:r>
        <w:rPr>
          <w:rtl w:val="true"/>
        </w:rPr>
        <w:t xml:space="preserve">, </w:t>
      </w:r>
      <w:r>
        <w:rPr>
          <w:rtl w:val="true"/>
        </w:rPr>
        <w:t>והשליך את האחריות לגורמים חיצוניים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לאור המכלול</w:t>
      </w:r>
      <w:r>
        <w:rPr>
          <w:rtl w:val="true"/>
        </w:rPr>
        <w:t xml:space="preserve">, </w:t>
      </w:r>
      <w:r>
        <w:rPr>
          <w:rtl w:val="true"/>
        </w:rPr>
        <w:t>לנוכח רמת מסוכנות בינונית לביצוע עבירות דומות כפי שעלה מהערכת המסוכנות</w:t>
      </w:r>
      <w:r>
        <w:rPr>
          <w:rtl w:val="true"/>
        </w:rPr>
        <w:t xml:space="preserve">, </w:t>
      </w:r>
      <w:r>
        <w:rPr>
          <w:rtl w:val="true"/>
        </w:rPr>
        <w:t>ובהעדר חיבור מצידו של הנאשם להתנהגותו הבעייתית</w:t>
      </w:r>
      <w:r>
        <w:rPr>
          <w:rtl w:val="true"/>
        </w:rPr>
        <w:t xml:space="preserve">, </w:t>
      </w:r>
      <w:r>
        <w:rPr>
          <w:rtl w:val="true"/>
        </w:rPr>
        <w:t>לא בא שירות המבחן בכל המלצה</w:t>
      </w:r>
      <w:r>
        <w:rPr>
          <w:u w:val="single"/>
          <w:rtl w:val="true"/>
        </w:rPr>
        <w:t xml:space="preserve"> </w:t>
      </w:r>
      <w:r>
        <w:rPr>
          <w:rtl w:val="true"/>
        </w:rPr>
        <w:t>טיפולית לגביו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rtl w:val="true"/>
        </w:rPr>
        <w:t xml:space="preserve">בתסקיר משלים מיום </w:t>
      </w:r>
      <w:r>
        <w:rPr>
          <w:b/>
          <w:bCs/>
        </w:rPr>
        <w:t>19.01.11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המתייחס לתיק הנוסף</w:t>
      </w:r>
      <w:r>
        <w:rPr>
          <w:rtl w:val="true"/>
        </w:rPr>
        <w:t xml:space="preserve">, </w:t>
      </w:r>
      <w:r>
        <w:rPr>
          <w:rtl w:val="true"/>
        </w:rPr>
        <w:t>צוין כי הנאשם לקח אחריות חלקית לביצוע העבירה</w:t>
      </w:r>
      <w:r>
        <w:rPr>
          <w:rtl w:val="true"/>
        </w:rPr>
        <w:t xml:space="preserve">, </w:t>
      </w:r>
      <w:r>
        <w:rPr>
          <w:rtl w:val="true"/>
        </w:rPr>
        <w:t>השליך את האחריות למתלוננת השנייה</w:t>
      </w:r>
      <w:r>
        <w:rPr>
          <w:rtl w:val="true"/>
        </w:rPr>
        <w:t xml:space="preserve">, </w:t>
      </w:r>
      <w:r>
        <w:rPr>
          <w:rtl w:val="true"/>
        </w:rPr>
        <w:t>בכך שהיא רצתה טרמפ</w:t>
      </w:r>
      <w:r>
        <w:rPr>
          <w:rtl w:val="true"/>
        </w:rPr>
        <w:t xml:space="preserve">, </w:t>
      </w:r>
      <w:r>
        <w:rPr>
          <w:rtl w:val="true"/>
        </w:rPr>
        <w:t>כאשר עובדה זו</w:t>
      </w:r>
      <w:r>
        <w:rPr>
          <w:rtl w:val="true"/>
        </w:rPr>
        <w:t xml:space="preserve">, </w:t>
      </w:r>
      <w:r>
        <w:rPr>
          <w:rtl w:val="true"/>
        </w:rPr>
        <w:t>על פי תפיסתו</w:t>
      </w:r>
      <w:r>
        <w:rPr>
          <w:rtl w:val="true"/>
        </w:rPr>
        <w:t xml:space="preserve">, </w:t>
      </w:r>
      <w:r>
        <w:rPr>
          <w:rtl w:val="true"/>
        </w:rPr>
        <w:t>היוותה קבלת אישור ממנה לביצוע המעשים</w:t>
      </w:r>
      <w:r>
        <w:rPr>
          <w:rtl w:val="true"/>
        </w:rPr>
        <w:t xml:space="preserve">. </w:t>
      </w:r>
      <w:r>
        <w:rPr>
          <w:rtl w:val="true"/>
        </w:rPr>
        <w:t>לדבריו קיים מגע מיני עם המתלוננת השנייה</w:t>
      </w:r>
      <w:r>
        <w:rPr>
          <w:rtl w:val="true"/>
        </w:rPr>
        <w:t xml:space="preserve">, </w:t>
      </w:r>
      <w:r>
        <w:rPr>
          <w:rtl w:val="true"/>
        </w:rPr>
        <w:t>בכך שנגע בחזה מעל בגדיה</w:t>
      </w:r>
      <w:r>
        <w:rPr>
          <w:rtl w:val="true"/>
        </w:rPr>
        <w:t xml:space="preserve">. </w:t>
      </w:r>
      <w:r>
        <w:rPr>
          <w:rtl w:val="true"/>
        </w:rPr>
        <w:t>הנאשם הכחיש מעשים מגונים נוספים שנעשו בניגוד לרצונה על אף בכייה ותחנוניה</w:t>
      </w:r>
      <w:r>
        <w:rPr>
          <w:rtl w:val="true"/>
        </w:rPr>
        <w:t xml:space="preserve">, </w:t>
      </w:r>
      <w:r>
        <w:rPr>
          <w:rtl w:val="true"/>
        </w:rPr>
        <w:t>ושימוש בכוח כלפיה באמצעות צעקות</w:t>
      </w:r>
      <w:r>
        <w:rPr>
          <w:rtl w:val="true"/>
        </w:rPr>
        <w:t xml:space="preserve">. </w:t>
      </w:r>
      <w:r>
        <w:rPr>
          <w:rtl w:val="true"/>
        </w:rPr>
        <w:t>הנאשם לא גילה אמפטיה למתלוננת השנייה</w:t>
      </w:r>
      <w:r>
        <w:rPr>
          <w:rtl w:val="true"/>
        </w:rPr>
        <w:t xml:space="preserve">, </w:t>
      </w:r>
      <w:r>
        <w:rPr>
          <w:rtl w:val="true"/>
        </w:rPr>
        <w:t>ומזער את חומרת מעשיו</w:t>
      </w:r>
      <w:r>
        <w:rPr>
          <w:rtl w:val="true"/>
        </w:rPr>
        <w:t xml:space="preserve">. </w:t>
      </w:r>
      <w:r>
        <w:rPr>
          <w:rtl w:val="true"/>
        </w:rPr>
        <w:t>הנאשם מסר שבמהלך האירוע המתלוננת השנייה לא גילתה התנגדות</w:t>
      </w:r>
      <w:r>
        <w:rPr>
          <w:rtl w:val="true"/>
        </w:rPr>
        <w:t xml:space="preserve">, </w:t>
      </w:r>
      <w:r>
        <w:rPr>
          <w:rtl w:val="true"/>
        </w:rPr>
        <w:t>תחילה מסר גרסה שפירש את שתיקתה כהסכמה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>מסר גרסה לפיה הרגיש שהיא כעוסה</w:t>
      </w:r>
      <w:r>
        <w:rPr>
          <w:rtl w:val="true"/>
        </w:rPr>
        <w:t xml:space="preserve">, </w:t>
      </w:r>
      <w:r>
        <w:rPr>
          <w:rtl w:val="true"/>
        </w:rPr>
        <w:t>אך זה לא עצר מבעדו להמשיך</w:t>
      </w:r>
      <w:r>
        <w:rPr>
          <w:rtl w:val="true"/>
        </w:rPr>
        <w:t xml:space="preserve">, </w:t>
      </w:r>
      <w:r>
        <w:rPr>
          <w:rtl w:val="true"/>
        </w:rPr>
        <w:t>שכן לא עשה דבר בכוח</w:t>
      </w:r>
      <w:r>
        <w:rPr>
          <w:rtl w:val="true"/>
        </w:rPr>
        <w:t xml:space="preserve">. </w:t>
      </w:r>
      <w:r>
        <w:rPr>
          <w:rtl w:val="true"/>
        </w:rPr>
        <w:t>קצינת המבחן סבורה</w:t>
      </w:r>
      <w:r>
        <w:rPr>
          <w:rtl w:val="true"/>
        </w:rPr>
        <w:t xml:space="preserve">, </w:t>
      </w:r>
      <w:r>
        <w:rPr>
          <w:rtl w:val="true"/>
        </w:rPr>
        <w:t>רמת הדחפים עליה סיפר הנאשם וכפי שמתבטאת בכתבי האישום</w:t>
      </w:r>
      <w:r>
        <w:rPr>
          <w:rtl w:val="true"/>
        </w:rPr>
        <w:t xml:space="preserve">,  </w:t>
      </w:r>
      <w:r>
        <w:rPr>
          <w:rtl w:val="true"/>
        </w:rPr>
        <w:t>פערי הגיל בין הנפגעות</w:t>
      </w:r>
      <w:r>
        <w:rPr>
          <w:rtl w:val="true"/>
        </w:rPr>
        <w:t xml:space="preserve">, </w:t>
      </w:r>
      <w:r>
        <w:rPr>
          <w:rtl w:val="true"/>
        </w:rPr>
        <w:t>כאשר העבירה האחרונה בוצעה בקטינה</w:t>
      </w:r>
      <w:r>
        <w:rPr>
          <w:rtl w:val="true"/>
        </w:rPr>
        <w:t xml:space="preserve">, </w:t>
      </w:r>
      <w:r>
        <w:rPr>
          <w:rtl w:val="true"/>
        </w:rPr>
        <w:t>מעידים על הידרדרות בויסות דחפיו המיניים</w:t>
      </w:r>
      <w:r>
        <w:rPr>
          <w:rtl w:val="true"/>
        </w:rPr>
        <w:t xml:space="preserve">, </w:t>
      </w:r>
      <w:r>
        <w:rPr>
          <w:rtl w:val="true"/>
        </w:rPr>
        <w:t>ולפיכך גובר הסיכון להישנות עבירות דומות בעתיד</w:t>
      </w:r>
      <w:r>
        <w:rPr>
          <w:rtl w:val="true"/>
        </w:rPr>
        <w:t xml:space="preserve">. </w:t>
      </w:r>
      <w:r>
        <w:rPr>
          <w:rtl w:val="true"/>
        </w:rPr>
        <w:t>התסקיר התייחס לחוות הדעת בסוגיית המסוכנות</w:t>
      </w:r>
      <w:r>
        <w:rPr>
          <w:rtl w:val="true"/>
        </w:rPr>
        <w:t xml:space="preserve">, </w:t>
      </w:r>
      <w:r>
        <w:rPr>
          <w:rtl w:val="true"/>
        </w:rPr>
        <w:t>וסיכם כי לאור הדפוס החזרתי של 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רמת המסוכנות הבינונית </w:t>
      </w:r>
      <w:r>
        <w:rPr>
          <w:rtl w:val="true"/>
        </w:rPr>
        <w:t xml:space="preserve">- </w:t>
      </w:r>
      <w:r>
        <w:rPr>
          <w:rtl w:val="true"/>
        </w:rPr>
        <w:t>גבוהה והעדר זיקה כלשהי מצידו של הנאשם לגבי התנהלותו הפוגענית</w:t>
      </w:r>
      <w:r>
        <w:rPr>
          <w:rtl w:val="true"/>
        </w:rPr>
        <w:t xml:space="preserve">, </w:t>
      </w:r>
      <w:r>
        <w:rPr>
          <w:rtl w:val="true"/>
        </w:rPr>
        <w:t>שירות המבחן גם בתסקיר זה לא בא בהמלצה טיפולית כלשהו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חוות דעת המרכז להערכת מסוכנות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בתואם </w:t>
      </w:r>
      <w:hyperlink r:id="rId1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ההגנה על הציבור מפני עברייני מין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/>
        <w:t>2006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b/>
          <w:b/>
          <w:bCs/>
          <w:spacing w:val="-2"/>
          <w:rtl w:val="true"/>
        </w:rPr>
        <w:t>חוות הדעת הראשונה של המרכז להערכת מסוכנות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סוקרת את מהלך חייו של הנאשם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עברו התעסקותי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יחסי המשפחה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הזוגיות שלו ועברו הפלילי</w:t>
      </w:r>
      <w:r>
        <w:rPr>
          <w:spacing w:val="-2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מעריכת המסוכנות התרשמה כי מדובר באדם המבקש ליצור תדמית של אדם נורמטיבי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שולל כל בעייתיות במישורי חייו השונים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ובכלל זה בתחום המיני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מכחיש את ביצוע העבירה בה הורשע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ומוסר גרסה על פיה המתלוננת היא זו שיזמה קשר עימו ושידלה אותו לתת לה כסף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ככלל מציג את המתלוננת כ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קבצנית</w:t>
      </w:r>
      <w:r>
        <w:rPr>
          <w:spacing w:val="-2"/>
          <w:rtl w:val="true"/>
        </w:rPr>
        <w:t xml:space="preserve">" </w:t>
      </w:r>
      <w:r>
        <w:rPr>
          <w:spacing w:val="-2"/>
          <w:rtl w:val="true"/>
        </w:rPr>
        <w:t>ואת עצמו כמי שבא לסייע לה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גרסתו עומדת בסתירה להודאתו בכתב האישום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והוא מתקשה להסביר את הפער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מציין שהודה כי חשש שייפול עליו 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תיק גדול יותר</w:t>
      </w:r>
      <w:r>
        <w:rPr>
          <w:spacing w:val="-2"/>
          <w:rtl w:val="true"/>
        </w:rPr>
        <w:t xml:space="preserve">". </w:t>
      </w:r>
      <w:r>
        <w:rPr>
          <w:spacing w:val="-2"/>
          <w:rtl w:val="true"/>
        </w:rPr>
        <w:t>התדמית שמנסה ליצור עומדת בסתירה להרשעתו בפלילים בעבר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וכעת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בכל הקשור להרגליו המיניים גישתו הגנתית מאוד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על פי חוות הדעת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מן הפנומנולוגיה של העבירה ניתן ללמוד כי הנאשם היה נתון להשפעתו של דחף מיני בעל עוצמה והוא היה נחוש לממש פנטזיה מינית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כאשר פער הגילאים בינו לבין המתלוננת מלמד כי לא ניתן לשלול קיומם של תכנים מיניים סוטים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עוד התרשמה המעריכה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כי גישתו של הנאשם מניפולטיבית ואין הוא חושף את מאפייני אישיותו כמו שהם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הפקטורים הסטאטיים מגבירי המסוכנות בעניינו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כוללים הרשעה קודמת בגין אלימות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פגיעה בקורבן מזדמן שאינה קרובת משפחה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פער גילאים מעל </w:t>
      </w:r>
      <w:r>
        <w:rPr>
          <w:spacing w:val="-2"/>
        </w:rPr>
        <w:t>5</w:t>
      </w: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שנים בינו לבין הקורבן ושימוש בכוח כלפיה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בנ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ל יש כדי ללמד על רמת מסוכנות בינונית לרצידיביזם מיני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הפקטורים הדינאמיים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הכוללים השלכת אחריות על הקורבן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גישה הגנתית ומניפולטיבית בבדיקה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והתכחשות לכל סיכון בתחום המיני בעתיד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מלמדים גם הם כמכלול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לצד ההתרשמות הקלינית מהנבדק כי יתכנו בו קווי אישיות אנטיסוציאליים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כי מדובר באדם בעל רמת מסוכנות מינית בינונית לטווח הארוך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(</w:t>
      </w:r>
      <w:r>
        <w:rPr>
          <w:spacing w:val="-2"/>
          <w:rtl w:val="true"/>
        </w:rPr>
        <w:t>לציין כי הבדיקה נערכה בעברית אולם מעריכת המסוכנות העריכה כי הוא מבין היטב את השאלות שנשאל ומשיב לעניין</w:t>
      </w:r>
      <w:r>
        <w:rPr>
          <w:spacing w:val="-2"/>
          <w:rtl w:val="true"/>
        </w:rPr>
        <w:t>).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b/>
          <w:b/>
          <w:bCs/>
          <w:spacing w:val="-2"/>
          <w:rtl w:val="true"/>
        </w:rPr>
        <w:t>במסגרת חוות דעת משלימה של המרכז להערכת מסוכנות</w:t>
      </w:r>
      <w:r>
        <w:rPr>
          <w:b/>
          <w:bCs/>
          <w:spacing w:val="-2"/>
          <w:rtl w:val="true"/>
        </w:rPr>
        <w:t xml:space="preserve">, </w:t>
      </w:r>
      <w:r>
        <w:rPr>
          <w:b/>
          <w:b/>
          <w:bCs/>
          <w:spacing w:val="-2"/>
          <w:rtl w:val="true"/>
        </w:rPr>
        <w:t xml:space="preserve">מיום </w:t>
      </w:r>
      <w:r>
        <w:rPr>
          <w:b/>
          <w:bCs/>
          <w:spacing w:val="-2"/>
        </w:rPr>
        <w:t>16.01.11</w:t>
      </w:r>
      <w:r>
        <w:rPr>
          <w:b/>
          <w:bCs/>
          <w:spacing w:val="-2"/>
          <w:rtl w:val="true"/>
        </w:rPr>
        <w:t>,</w:t>
      </w: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ציינה מעריכת המסוכנות כי בהתייחס לתיק הנוסף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צייר הנאשם תמונה שונה מזו המתוארת בכתב האישום המתוקן הנוסף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בו הודה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הנאשם הכחיש שהוא הציע טרמפ למתלוננת השנייה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הכחיש כי טען שהמטע שלו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סיפר כי אמר לה שצריך לעשות את צרכיו ואז התפתה לבקש ממנה לקיים עימו יחסי מין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לאחר שסירבה נגע לה בחזה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וגם היא לו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והוא 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גמר</w:t>
      </w:r>
      <w:r>
        <w:rPr>
          <w:spacing w:val="-2"/>
          <w:rtl w:val="true"/>
        </w:rPr>
        <w:t xml:space="preserve">" </w:t>
      </w:r>
      <w:r>
        <w:rPr>
          <w:spacing w:val="-2"/>
          <w:rtl w:val="true"/>
        </w:rPr>
        <w:t xml:space="preserve">על חצאיתה מאחר והיה לבוש 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שורט</w:t>
      </w:r>
      <w:r>
        <w:rPr>
          <w:spacing w:val="-2"/>
          <w:rtl w:val="true"/>
        </w:rPr>
        <w:t xml:space="preserve">". </w:t>
      </w:r>
      <w:r>
        <w:rPr>
          <w:spacing w:val="-2"/>
          <w:rtl w:val="true"/>
        </w:rPr>
        <w:t>הנאשם הכחיש כל שימוש בכוח או ניסיון כפייה על האישה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כשנשאל מדוע הודה השיב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שהודה על מנת שימחקו את סעיף החטיפה </w:t>
      </w:r>
      <w:r>
        <w:rPr>
          <w:spacing w:val="-2"/>
          <w:rtl w:val="true"/>
        </w:rPr>
        <w:t>[</w:t>
      </w:r>
      <w:r>
        <w:rPr>
          <w:spacing w:val="-2"/>
          <w:rtl w:val="true"/>
        </w:rPr>
        <w:t>אשר מצוי היה בכתב האישום המתוקן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ולא בתיק הנוסף</w:t>
      </w:r>
      <w:r>
        <w:rPr>
          <w:spacing w:val="-2"/>
          <w:rtl w:val="true"/>
        </w:rPr>
        <w:t xml:space="preserve">]. </w:t>
      </w:r>
      <w:r>
        <w:rPr>
          <w:spacing w:val="-2"/>
          <w:rtl w:val="true"/>
        </w:rPr>
        <w:t xml:space="preserve">כאשר נשאל שוב ביחס למקרה עם המתלוננת </w:t>
      </w:r>
      <w:r>
        <w:rPr>
          <w:spacing w:val="-2"/>
          <w:rtl w:val="true"/>
        </w:rPr>
        <w:t>[</w:t>
      </w:r>
      <w:r>
        <w:rPr>
          <w:spacing w:val="-2"/>
          <w:rtl w:val="true"/>
        </w:rPr>
        <w:t>הקטינה</w:t>
      </w:r>
      <w:r>
        <w:rPr>
          <w:spacing w:val="-2"/>
          <w:rtl w:val="true"/>
        </w:rPr>
        <w:t xml:space="preserve">], </w:t>
      </w:r>
      <w:r>
        <w:rPr>
          <w:spacing w:val="-2"/>
          <w:rtl w:val="true"/>
        </w:rPr>
        <w:t>חזר ומסר מספר גרסאות שונות בכל פעם שנשאל שאלות הבהרה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תוך שהוא מתעצבן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ומכחיש את המיוחס לו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כשלבסוף הפטיר 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יודעת מה עשיתי הכל</w:t>
      </w:r>
      <w:r>
        <w:rPr>
          <w:spacing w:val="-2"/>
          <w:rtl w:val="true"/>
        </w:rPr>
        <w:t xml:space="preserve">", </w:t>
      </w:r>
      <w:r>
        <w:rPr>
          <w:spacing w:val="-2"/>
          <w:rtl w:val="true"/>
        </w:rPr>
        <w:t>וסירב להסביר את דבריו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כאשר עומת הנאשם עם הדפוס הזהה של מעשיו בשני המקרים ניכר היה שנלחץ וחש שלא בנוח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וטען שראשו מתפוצץ מהשאלות והוא אינו רוצה להשיב עליהן יותר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המעריכה מסכמת כי מדובר בנבדק שאינו לוקח אחריות על מעשיו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משליך חלק מן היוזמה על קורבנותיו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ומכחיש תכנון וכוונה מינית במעשיו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מערכית המסוכנות ציינה ככלל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כי לאור הבדיקה הנוכחית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שיתף הנאשם פעולה באופן מגמתי ומניפולטיבי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כשלא אחת מסר פרטים שונים ממה שמסר בבדיקות קודמות שלו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לרבות ביחס לפרטים הקשורים בעברו הרחוק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במסגרת ההתרשמות הקלינית צוין כי מדובר בעבריין מין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אשר אינו לוקח אחריות על מעשיו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משתדל למזער ולנרמל את העבירות בהן הורשע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כאשר בשתי העבירות בלטה העובדה שדחפיו המיניים של הנאשם הם המובילים כשהנאשם לא התייחס לבכיין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בקשותיהן ותחנותיהן של הקורבנות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שלא לדבר על הבעת אמפטיה מאוחר לכך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בנוסף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בדברי הנאשם בלטו עיוותי חשיבה מסיביים המאפיינים עבריני מין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תוך שימוש בהסברים וטכניקות נטרול המאפיינים אנסים ביחס למעשיהם וקורבנותיהם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עוד צוין כי יש קושי לעמוד על מניעיו של הנאשם לביצוע העבירות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באשר לגורמים הסטאטיים מגבירי הסיכון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התווספה העובדה שפגע בשתי מתלוננות מקבוצות גיל שונות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זרות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שאינן קרובות משפחה ובמקום ציבורי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תוך שימוש בכוח במהלכן כשלנאשם דנן עבר פלילי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הואיל ומדובר בדפוס פעולה שחוזר על עצמו גם  לא ניתן לשלול תכנון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עוד צוין כי גילו של הנאשם אינו מהווה גורם ממתן מסוכנות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בשל העובדה שביצע את העבירות בהיותו מעל גיל </w:t>
      </w:r>
      <w:r>
        <w:rPr>
          <w:spacing w:val="-2"/>
        </w:rPr>
        <w:t>54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באשר לפקטורים הדינאמיים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הבעת העמדה ההגנתית לפיה אינו מסוכן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לצד היעדר לקיחת אחריות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אי הבעת אמפטיה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קיומם של עיוותי חשיבה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ההכחשה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ההשלכה והמינימליזציה מגבירים גם הם את המסוכנות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לסיכום על פי חוות הדעת המעודכנת</w:t>
      </w:r>
      <w:r>
        <w:rPr>
          <w:spacing w:val="-2"/>
          <w:rtl w:val="true"/>
        </w:rPr>
        <w:t xml:space="preserve">, </w:t>
      </w:r>
      <w:r>
        <w:rPr>
          <w:b/>
          <w:b/>
          <w:bCs/>
          <w:spacing w:val="-2"/>
          <w:u w:val="single"/>
          <w:rtl w:val="true"/>
        </w:rPr>
        <w:t>רמת המסוכנות הנשקפת מן הנאשם היא בינונית</w:t>
      </w:r>
      <w:r>
        <w:rPr>
          <w:b/>
          <w:bCs/>
          <w:spacing w:val="-2"/>
          <w:u w:val="single"/>
          <w:rtl w:val="true"/>
        </w:rPr>
        <w:t>-</w:t>
      </w:r>
      <w:r>
        <w:rPr>
          <w:b/>
          <w:b/>
          <w:bCs/>
          <w:spacing w:val="-2"/>
          <w:u w:val="single"/>
          <w:rtl w:val="true"/>
        </w:rPr>
        <w:t>גבוהה לטווח הארוך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b/>
          <w:bCs/>
          <w:spacing w:val="-2"/>
        </w:rPr>
      </w:pPr>
      <w:r>
        <w:rPr>
          <w:b/>
          <w:b/>
          <w:bCs/>
          <w:spacing w:val="-2"/>
          <w:u w:val="single"/>
          <w:rtl w:val="true"/>
        </w:rPr>
        <w:t xml:space="preserve">תסקיר נפגעת עבירה מיום </w:t>
      </w:r>
      <w:r>
        <w:rPr>
          <w:b/>
          <w:bCs/>
          <w:spacing w:val="-2"/>
          <w:u w:val="single"/>
        </w:rPr>
        <w:t>05.09.10</w:t>
      </w:r>
      <w:r>
        <w:rPr>
          <w:b/>
          <w:bCs/>
          <w:spacing w:val="-2"/>
          <w:u w:val="single"/>
          <w:rtl w:val="true"/>
        </w:rPr>
        <w:t xml:space="preserve"> – </w:t>
      </w:r>
      <w:r>
        <w:rPr>
          <w:b/>
          <w:b/>
          <w:bCs/>
          <w:spacing w:val="-2"/>
          <w:u w:val="single"/>
          <w:rtl w:val="true"/>
        </w:rPr>
        <w:t>המתלוננת</w:t>
      </w:r>
      <w:r>
        <w:rPr>
          <w:b/>
          <w:b/>
          <w:bCs/>
          <w:spacing w:val="-2"/>
          <w:rtl w:val="true"/>
        </w:rPr>
        <w:t xml:space="preserve"> </w:t>
      </w:r>
      <w:r>
        <w:rPr>
          <w:spacing w:val="-2"/>
          <w:rtl w:val="true"/>
        </w:rPr>
        <w:t>(</w:t>
      </w:r>
      <w:r>
        <w:rPr>
          <w:spacing w:val="-2"/>
          <w:rtl w:val="true"/>
        </w:rPr>
        <w:t xml:space="preserve">לפי </w:t>
      </w:r>
      <w:hyperlink r:id="rId18">
        <w:r>
          <w:rPr>
            <w:rStyle w:val="Hyperlink"/>
            <w:spacing w:val="-2"/>
            <w:rtl w:val="true"/>
          </w:rPr>
          <w:t>סעיף</w:t>
        </w:r>
        <w:r>
          <w:rPr>
            <w:rStyle w:val="Hyperlink"/>
            <w:spacing w:val="-2"/>
            <w:rtl w:val="true"/>
          </w:rPr>
          <w:t xml:space="preserve"> </w:t>
        </w:r>
        <w:r>
          <w:rPr>
            <w:rStyle w:val="Hyperlink"/>
            <w:spacing w:val="-2"/>
          </w:rPr>
          <w:t>187</w:t>
        </w:r>
        <w:r>
          <w:rPr>
            <w:rStyle w:val="Hyperlink"/>
            <w:spacing w:val="-2"/>
            <w:rtl w:val="true"/>
          </w:rPr>
          <w:t>(</w:t>
        </w:r>
        <w:r>
          <w:rPr>
            <w:rStyle w:val="Hyperlink"/>
            <w:spacing w:val="-2"/>
            <w:rtl w:val="true"/>
          </w:rPr>
          <w:t>ב</w:t>
        </w:r>
        <w:r>
          <w:rPr>
            <w:rStyle w:val="Hyperlink"/>
            <w:spacing w:val="-2"/>
            <w:rtl w:val="true"/>
          </w:rPr>
          <w:t>)</w:t>
        </w:r>
      </w:hyperlink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ל</w:t>
      </w:r>
      <w:hyperlink r:id="rId19">
        <w:r>
          <w:rPr>
            <w:rStyle w:val="Hyperlink"/>
            <w:spacing w:val="-2"/>
            <w:rtl w:val="true"/>
          </w:rPr>
          <w:t>חוק</w:t>
        </w:r>
        <w:r>
          <w:rPr>
            <w:rStyle w:val="Hyperlink"/>
            <w:spacing w:val="-2"/>
            <w:rtl w:val="true"/>
          </w:rPr>
          <w:t xml:space="preserve"> סדר הדין הפלילי</w:t>
        </w:r>
      </w:hyperlink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(</w:t>
      </w:r>
      <w:r>
        <w:rPr>
          <w:spacing w:val="-2"/>
          <w:rtl w:val="true"/>
        </w:rPr>
        <w:t>נוסח משולב</w:t>
      </w:r>
      <w:r>
        <w:rPr>
          <w:spacing w:val="-2"/>
          <w:rtl w:val="true"/>
        </w:rPr>
        <w:t xml:space="preserve">) </w:t>
      </w:r>
      <w:r>
        <w:rPr>
          <w:spacing w:val="-2"/>
          <w:rtl w:val="true"/>
        </w:rPr>
        <w:t>התשמ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 xml:space="preserve">ב </w:t>
      </w:r>
      <w:r>
        <w:rPr>
          <w:spacing w:val="-2"/>
        </w:rPr>
        <w:t>1982</w:t>
      </w:r>
      <w:r>
        <w:rPr>
          <w:spacing w:val="-2"/>
          <w:rtl w:val="true"/>
        </w:rPr>
        <w:t>)</w:t>
      </w:r>
      <w:r>
        <w:rPr>
          <w:b/>
          <w:bCs/>
          <w:spacing w:val="-2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 xml:space="preserve">המתלוננת בת </w:t>
      </w:r>
      <w:r>
        <w:rPr>
          <w:spacing w:val="-2"/>
        </w:rPr>
        <w:t>13</w:t>
      </w: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וחצי למועד עריכת התסקיר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תסקיר נפגעת העבירה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מתייחס לטראומה הכבדה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ולהשפעה העצומה של האירוע המבזה והמשפיל נשוא כתב האישום המתוקן על המתלוננת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שהפכה מילדה חברותית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תמימה ומאושרת לילדה שחיה בפחדים יום יומיים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סובלת מסיוטים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מדוכאת ומסוגרת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מבלי שאנו יכולים להרחיב בפרטי התסקיר מפאת צנעת הפרט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נציין כי פקידת הסעד מציינת שהמתלוננת תזדקק לטיפול ארוך טווח וייחודי בשל מגבלותיה הפרטניות וכן בשל מגבלות משפחתה הגרעינית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לציין כי התסקיר מלמד על פגיעה קשה בנפשה של המתלוננת על ההשלכות שיש לכך בחיי היום יום שלה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לרבות קשיים במישור הלימודי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החברתי והרגשי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על פי התסקיר המתלוננת נפגעה בעודה בגיל טרום בגרות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ובמהלך הפגישה עימה זיהתה פקידת הסעד קוים דיכאוניי</w:t>
      </w:r>
      <w:r>
        <w:rPr>
          <w:spacing w:val="-2"/>
          <w:rtl w:val="true"/>
        </w:rPr>
        <w:t>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של הסתגרות ורגזנות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אשר על פי עדויות הוריה לא אפיינו אותה טרם למקרה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 xml:space="preserve">תסקיר נפגעת עבירה מיום </w:t>
      </w:r>
      <w:r>
        <w:rPr>
          <w:b/>
          <w:bCs/>
          <w:u w:val="single"/>
        </w:rPr>
        <w:t>30.12.10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המתלוננת השנייה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המתלוננת השנייה</w:t>
      </w:r>
      <w:r>
        <w:rPr>
          <w:rtl w:val="true"/>
        </w:rPr>
        <w:t xml:space="preserve">, </w:t>
      </w:r>
      <w:r>
        <w:rPr>
          <w:rtl w:val="true"/>
        </w:rPr>
        <w:t xml:space="preserve">בת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אלמנה</w:t>
      </w:r>
      <w:r>
        <w:rPr>
          <w:rtl w:val="true"/>
        </w:rPr>
        <w:t xml:space="preserve">. </w:t>
      </w:r>
      <w:r>
        <w:rPr>
          <w:rtl w:val="true"/>
        </w:rPr>
        <w:t>על פי התסקיר חייה של המתלוננת השנייה</w:t>
      </w:r>
      <w:r>
        <w:rPr>
          <w:rtl w:val="true"/>
        </w:rPr>
        <w:t xml:space="preserve">, </w:t>
      </w:r>
      <w:r>
        <w:rPr>
          <w:rtl w:val="true"/>
        </w:rPr>
        <w:t>השתנו ולא חזרו למסלולם התקין</w:t>
      </w:r>
      <w:r>
        <w:rPr>
          <w:rtl w:val="true"/>
        </w:rPr>
        <w:t xml:space="preserve">. </w:t>
      </w:r>
      <w:r>
        <w:rPr>
          <w:rtl w:val="true"/>
        </w:rPr>
        <w:t>המתלוננת ביטאה תחושת אשם כבדה מכך שהתפתתה להצעתו של הנאשם לטרמפ שהציע לה</w:t>
      </w:r>
      <w:r>
        <w:rPr>
          <w:rtl w:val="true"/>
        </w:rPr>
        <w:t xml:space="preserve">. </w:t>
      </w:r>
      <w:r>
        <w:rPr>
          <w:rtl w:val="true"/>
        </w:rPr>
        <w:t>על פי התסקיר</w:t>
      </w:r>
      <w:r>
        <w:rPr>
          <w:rtl w:val="true"/>
        </w:rPr>
        <w:t xml:space="preserve">, </w:t>
      </w:r>
      <w:r>
        <w:rPr>
          <w:rtl w:val="true"/>
        </w:rPr>
        <w:t>השלכות הטראומה מדירות שינה מעיניה של המתלוננת השנייה</w:t>
      </w:r>
      <w:r>
        <w:rPr>
          <w:rtl w:val="true"/>
        </w:rPr>
        <w:t xml:space="preserve">, </w:t>
      </w:r>
      <w:r>
        <w:rPr>
          <w:rtl w:val="true"/>
        </w:rPr>
        <w:t>היא חשה השפלה קשה</w:t>
      </w:r>
      <w:r>
        <w:rPr>
          <w:rtl w:val="true"/>
        </w:rPr>
        <w:t xml:space="preserve">, </w:t>
      </w:r>
      <w:r>
        <w:rPr>
          <w:rtl w:val="true"/>
        </w:rPr>
        <w:t>תחושת מוכתמות ביזוי ובושה גדולים</w:t>
      </w:r>
      <w:r>
        <w:rPr>
          <w:rtl w:val="true"/>
        </w:rPr>
        <w:t xml:space="preserve">, </w:t>
      </w:r>
      <w:r>
        <w:rPr>
          <w:rtl w:val="true"/>
        </w:rPr>
        <w:t>כשהחוויה הותירה אותה כאובה ומצולקת</w:t>
      </w:r>
      <w:r>
        <w:rPr>
          <w:rtl w:val="true"/>
        </w:rPr>
        <w:t xml:space="preserve">. </w:t>
      </w:r>
      <w:r>
        <w:rPr>
          <w:rtl w:val="true"/>
        </w:rPr>
        <w:t>לדברי המתלוננת היא נותרה עם אותה תחושת פחד קיומי שליווה אותה במהלך האירוע עצמו כאשר חשה בודדה ונתונה לחסדיו של הנאשם</w:t>
      </w:r>
      <w:r>
        <w:rPr>
          <w:rtl w:val="true"/>
        </w:rPr>
        <w:t xml:space="preserve">, </w:t>
      </w:r>
      <w:r>
        <w:rPr>
          <w:rtl w:val="true"/>
        </w:rPr>
        <w:t>כאשר בעקבות האירועים מלוות אותה מחשבות רודפניות ו</w:t>
      </w:r>
      <w:r>
        <w:rPr>
          <w:rtl w:val="true"/>
        </w:rPr>
        <w:t>"</w:t>
      </w:r>
      <w:r>
        <w:rPr>
          <w:rtl w:val="true"/>
        </w:rPr>
        <w:t>פלאשים</w:t>
      </w:r>
      <w:r>
        <w:rPr>
          <w:rtl w:val="true"/>
        </w:rPr>
        <w:t xml:space="preserve">" </w:t>
      </w:r>
      <w:r>
        <w:rPr>
          <w:rtl w:val="true"/>
        </w:rPr>
        <w:t>מאירוע</w:t>
      </w:r>
      <w:r>
        <w:rPr>
          <w:rtl w:val="true"/>
        </w:rPr>
        <w:t xml:space="preserve">, </w:t>
      </w:r>
      <w:r>
        <w:rPr>
          <w:rtl w:val="true"/>
        </w:rPr>
        <w:t>היא נמנעת מלצאת בגפה בערבים</w:t>
      </w:r>
      <w:r>
        <w:rPr>
          <w:rtl w:val="true"/>
        </w:rPr>
        <w:t xml:space="preserve">, </w:t>
      </w:r>
      <w:r>
        <w:rPr>
          <w:rtl w:val="true"/>
        </w:rPr>
        <w:t>מתקשה לשהות בגפה ונופלת לנטל על ילדיה</w:t>
      </w:r>
      <w:r>
        <w:rPr>
          <w:rtl w:val="true"/>
        </w:rPr>
        <w:t xml:space="preserve">. </w:t>
      </w:r>
      <w:r>
        <w:rPr>
          <w:rtl w:val="true"/>
        </w:rPr>
        <w:t>להערכת עורכת התסקיר</w:t>
      </w:r>
      <w:r>
        <w:rPr>
          <w:rtl w:val="true"/>
        </w:rPr>
        <w:t xml:space="preserve">, </w:t>
      </w:r>
      <w:r>
        <w:rPr>
          <w:rtl w:val="true"/>
        </w:rPr>
        <w:t>המתלוננת השנייה</w:t>
      </w:r>
      <w:r>
        <w:rPr>
          <w:rtl w:val="true"/>
        </w:rPr>
        <w:t xml:space="preserve">, </w:t>
      </w:r>
      <w:r>
        <w:rPr>
          <w:rtl w:val="true"/>
        </w:rPr>
        <w:t>אמנם שורדת ומתפקדת במטלות חייה הפשוטות</w:t>
      </w:r>
      <w:r>
        <w:rPr>
          <w:rtl w:val="true"/>
        </w:rPr>
        <w:t xml:space="preserve">, </w:t>
      </w:r>
      <w:r>
        <w:rPr>
          <w:rtl w:val="true"/>
        </w:rPr>
        <w:t>אולם מצבה הנפשי ירוד</w:t>
      </w:r>
      <w:r>
        <w:rPr>
          <w:rtl w:val="true"/>
        </w:rPr>
        <w:t xml:space="preserve">, </w:t>
      </w:r>
      <w:r>
        <w:rPr>
          <w:rtl w:val="true"/>
        </w:rPr>
        <w:t>היא משדרת עייפות וחוסר חיוניות</w:t>
      </w:r>
      <w:r>
        <w:rPr>
          <w:rtl w:val="true"/>
        </w:rPr>
        <w:t xml:space="preserve">, </w:t>
      </w:r>
      <w:r>
        <w:rPr>
          <w:rtl w:val="true"/>
        </w:rPr>
        <w:t>כשניתן לשער כי בטווח הרחוק תזדקק לעזרת גורמי טיפול</w:t>
      </w:r>
      <w:r>
        <w:rPr>
          <w:rtl w:val="true"/>
        </w:rPr>
        <w:t xml:space="preserve">, </w:t>
      </w:r>
      <w:r>
        <w:rPr>
          <w:rtl w:val="true"/>
        </w:rPr>
        <w:t>כדי למנוע החרפה בסימפטומים של הפוסט טראומה שהתגלו אצלה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גיליון הרשעות קודמות של הנאשם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לנסיבות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בהן ילדה נשלחת למכולת</w:t>
      </w:r>
      <w:r>
        <w:rPr>
          <w:rtl w:val="true"/>
        </w:rPr>
        <w:t xml:space="preserve">, </w:t>
      </w:r>
      <w:r>
        <w:rPr>
          <w:rtl w:val="true"/>
        </w:rPr>
        <w:t>בסמוך לבית אביה</w:t>
      </w:r>
      <w:r>
        <w:rPr>
          <w:rtl w:val="true"/>
        </w:rPr>
        <w:t xml:space="preserve">, </w:t>
      </w:r>
      <w:r>
        <w:rPr>
          <w:rtl w:val="true"/>
        </w:rPr>
        <w:t>ובדרך תופס אותה הנאשם</w:t>
      </w:r>
      <w:r>
        <w:rPr>
          <w:rtl w:val="true"/>
        </w:rPr>
        <w:t xml:space="preserve">, </w:t>
      </w:r>
      <w:r>
        <w:rPr>
          <w:rtl w:val="true"/>
        </w:rPr>
        <w:t>המבוגר ממנה ב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ומבצע בה מעשים איומים</w:t>
      </w:r>
      <w:r>
        <w:rPr>
          <w:rtl w:val="true"/>
        </w:rPr>
        <w:t xml:space="preserve">, </w:t>
      </w:r>
      <w:r>
        <w:rPr>
          <w:rtl w:val="true"/>
        </w:rPr>
        <w:t>אחריהם לא תשוב להיות כשהייתה</w:t>
      </w:r>
      <w:r>
        <w:rPr>
          <w:rtl w:val="true"/>
        </w:rPr>
        <w:t xml:space="preserve">. </w:t>
      </w:r>
      <w:r>
        <w:rPr>
          <w:rtl w:val="true"/>
        </w:rPr>
        <w:t>לעניין זה מצטרפת העובדה כי מדובר בילדת חינוך מיוחד</w:t>
      </w:r>
      <w:r>
        <w:rPr>
          <w:rtl w:val="true"/>
        </w:rPr>
        <w:t xml:space="preserve">, </w:t>
      </w:r>
      <w:r>
        <w:rPr>
          <w:rtl w:val="true"/>
        </w:rPr>
        <w:t xml:space="preserve">בת למשפחה בה ההורים מתמודדים עם קשיים יום יומיים המשפיעים על חייה 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גם התיק הנוסף</w:t>
      </w:r>
      <w:r>
        <w:rPr>
          <w:rtl w:val="true"/>
        </w:rPr>
        <w:t xml:space="preserve">, </w:t>
      </w:r>
      <w:r>
        <w:rPr>
          <w:rtl w:val="true"/>
        </w:rPr>
        <w:t>בו עולה אישה תמימה לטרמפ ברכב עם נהג שנראה לה מבוגר וישר דרך</w:t>
      </w:r>
      <w:r>
        <w:rPr>
          <w:rtl w:val="true"/>
        </w:rPr>
        <w:t xml:space="preserve">, </w:t>
      </w:r>
      <w:r>
        <w:rPr>
          <w:rtl w:val="true"/>
        </w:rPr>
        <w:t>כאשר במהלך נסיעה זו</w:t>
      </w:r>
      <w:r>
        <w:rPr>
          <w:rtl w:val="true"/>
        </w:rPr>
        <w:t xml:space="preserve">, </w:t>
      </w:r>
      <w:r>
        <w:rPr>
          <w:rtl w:val="true"/>
        </w:rPr>
        <w:t>נפגעת האישה פגיעה עמוקה וקשה</w:t>
      </w:r>
      <w:r>
        <w:rPr>
          <w:rtl w:val="true"/>
        </w:rPr>
        <w:t xml:space="preserve">, </w:t>
      </w:r>
      <w:r>
        <w:rPr>
          <w:rtl w:val="true"/>
        </w:rPr>
        <w:t>שלעולם תתחרט עליה ותאשים עצמה שבחרה להצטרף אליה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המבקשת מפנה לתסקירי נפגעות העבירה</w:t>
      </w:r>
      <w:r>
        <w:rPr>
          <w:rtl w:val="true"/>
        </w:rPr>
        <w:t xml:space="preserve">, </w:t>
      </w:r>
      <w:r>
        <w:rPr>
          <w:rtl w:val="true"/>
        </w:rPr>
        <w:t>כפי שפורטו להלן</w:t>
      </w:r>
      <w:r>
        <w:rPr>
          <w:rtl w:val="true"/>
        </w:rPr>
        <w:t xml:space="preserve">, </w:t>
      </w:r>
      <w:r>
        <w:rPr>
          <w:rtl w:val="true"/>
        </w:rPr>
        <w:t>המצביעים על חומרת הפגיעה בנפשן של שתי המתלוננות</w:t>
      </w:r>
      <w:r>
        <w:rPr>
          <w:rtl w:val="true"/>
        </w:rPr>
        <w:t xml:space="preserve">, </w:t>
      </w:r>
      <w:r>
        <w:rPr>
          <w:rtl w:val="true"/>
        </w:rPr>
        <w:t>ועותרת לכך שחומרת הפגיעה תתבטא בחומרת הענישה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המבקשת מפנה לנאשם</w:t>
      </w:r>
      <w:r>
        <w:rPr>
          <w:rtl w:val="true"/>
        </w:rPr>
        <w:t xml:space="preserve">, </w:t>
      </w:r>
      <w:r>
        <w:rPr>
          <w:rtl w:val="true"/>
        </w:rPr>
        <w:t>אשר אינו מגלה טיפת אמפטיה לסבלן</w:t>
      </w:r>
      <w:r>
        <w:rPr>
          <w:rtl w:val="true"/>
        </w:rPr>
        <w:t xml:space="preserve">, </w:t>
      </w:r>
      <w:r>
        <w:rPr>
          <w:rtl w:val="true"/>
        </w:rPr>
        <w:t>ולנזק הבלתי הפיך שגרם להן</w:t>
      </w:r>
      <w:r>
        <w:rPr>
          <w:rtl w:val="true"/>
        </w:rPr>
        <w:t xml:space="preserve">, </w:t>
      </w:r>
      <w:r>
        <w:rPr>
          <w:rtl w:val="true"/>
        </w:rPr>
        <w:t>כשעל פי התסקירים וחוות הדעת לעניין מסוכנותו</w:t>
      </w:r>
      <w:r>
        <w:rPr>
          <w:rtl w:val="true"/>
        </w:rPr>
        <w:t xml:space="preserve">, </w:t>
      </w:r>
      <w:r>
        <w:rPr>
          <w:rtl w:val="true"/>
        </w:rPr>
        <w:t>מדובר בנאשם מניפולטיבי שעסוק בעצמו ובדרכים להיחלץ מן ה</w:t>
      </w:r>
      <w:r>
        <w:rPr>
          <w:rtl w:val="true"/>
        </w:rPr>
        <w:t>"</w:t>
      </w:r>
      <w:r>
        <w:rPr>
          <w:rtl w:val="true"/>
        </w:rPr>
        <w:t>בעיה</w:t>
      </w:r>
      <w:r>
        <w:rPr>
          <w:rtl w:val="true"/>
        </w:rPr>
        <w:t xml:space="preserve">" </w:t>
      </w:r>
      <w:r>
        <w:rPr>
          <w:rtl w:val="true"/>
        </w:rPr>
        <w:t>אליה הכניס עצמו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המבקשת מפנה עוד לכך שעל פי חוות הדעת</w:t>
      </w:r>
      <w:r>
        <w:rPr>
          <w:rtl w:val="true"/>
        </w:rPr>
        <w:t xml:space="preserve">, </w:t>
      </w:r>
      <w:r>
        <w:rPr>
          <w:rtl w:val="true"/>
        </w:rPr>
        <w:t>אין לנאשם למעשה גורמים ממתני סיכון</w:t>
      </w:r>
      <w:r>
        <w:rPr>
          <w:rtl w:val="true"/>
        </w:rPr>
        <w:t xml:space="preserve">, </w:t>
      </w:r>
      <w:r>
        <w:rPr>
          <w:rtl w:val="true"/>
        </w:rPr>
        <w:t>כאשר נסיבות ביצוע העבירות הינן מהחמורות הקיימות ומהוות גורמים מגבירי סיכון</w:t>
      </w:r>
      <w:r>
        <w:rPr>
          <w:rtl w:val="true"/>
        </w:rPr>
        <w:t xml:space="preserve">; </w:t>
      </w:r>
      <w:r>
        <w:rPr>
          <w:rtl w:val="true"/>
        </w:rPr>
        <w:t>הנאשם פגע בשתי קורבנות</w:t>
      </w:r>
      <w:r>
        <w:rPr>
          <w:rtl w:val="true"/>
        </w:rPr>
        <w:t xml:space="preserve">, </w:t>
      </w:r>
      <w:r>
        <w:rPr>
          <w:rtl w:val="true"/>
        </w:rPr>
        <w:t>משתי קבוצות גיל שונות לחלוטין</w:t>
      </w:r>
      <w:r>
        <w:rPr>
          <w:rtl w:val="true"/>
        </w:rPr>
        <w:t xml:space="preserve">. </w:t>
      </w:r>
      <w:r>
        <w:rPr>
          <w:rtl w:val="true"/>
        </w:rPr>
        <w:t>בהקשר זה מוסיפה באת הכוח כי חוסר הגבולות והעדר השליטה שהובילו את הגורמים המקצועיים להערכת מסוכנות בינונית</w:t>
      </w:r>
      <w:r>
        <w:rPr>
          <w:rtl w:val="true"/>
        </w:rPr>
        <w:t>-</w:t>
      </w:r>
      <w:r>
        <w:rPr>
          <w:rtl w:val="true"/>
        </w:rPr>
        <w:t>גבוהה לטווח הארוך</w:t>
      </w:r>
      <w:r>
        <w:rPr>
          <w:rtl w:val="true"/>
        </w:rPr>
        <w:t xml:space="preserve">, </w:t>
      </w:r>
      <w:r>
        <w:rPr>
          <w:rtl w:val="true"/>
        </w:rPr>
        <w:t>מעידים כי הדרך היחידה להגן על הציבור מפני הנאשם היא על ידי הרחקתו מהחברה והושבתו מאחרי סורג ובריח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נוכח הדמיון בנסיבות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לא ניתן לשלול תכנון מצד הנאשם ומתקבל הרושם כי מדובר ממש בדפוס פעולה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המבקשת</w:t>
      </w:r>
      <w:r>
        <w:rPr>
          <w:rtl w:val="true"/>
        </w:rPr>
        <w:t xml:space="preserve">, </w:t>
      </w:r>
      <w:r>
        <w:rPr>
          <w:rtl w:val="true"/>
        </w:rPr>
        <w:t>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כפי שתוארו בכתבי האישום מצויות ברף הגבוה ביותר מבחינת חומרתן</w:t>
      </w:r>
      <w:r>
        <w:rPr>
          <w:rtl w:val="true"/>
        </w:rPr>
        <w:t xml:space="preserve">. </w:t>
      </w:r>
      <w:r>
        <w:rPr>
          <w:rtl w:val="true"/>
        </w:rPr>
        <w:t>הנאשם פגע בקורבנות זרות</w:t>
      </w:r>
      <w:r>
        <w:rPr>
          <w:rtl w:val="true"/>
        </w:rPr>
        <w:t xml:space="preserve">, </w:t>
      </w:r>
      <w:r>
        <w:rPr>
          <w:rtl w:val="true"/>
        </w:rPr>
        <w:t>אחת מהן קטינה צעירה לימים ותוך שימוש בכוח ובאיומים ביצע בהן את זממו</w:t>
      </w:r>
      <w:r>
        <w:rPr>
          <w:rtl w:val="true"/>
        </w:rPr>
        <w:t xml:space="preserve">. </w:t>
      </w:r>
      <w:r>
        <w:rPr>
          <w:rtl w:val="true"/>
        </w:rPr>
        <w:t xml:space="preserve">מעשיו הינם בבחינת </w:t>
      </w:r>
      <w:r>
        <w:rPr>
          <w:rtl w:val="true"/>
        </w:rPr>
        <w:t>"</w:t>
      </w:r>
      <w:r>
        <w:rPr>
          <w:rtl w:val="true"/>
        </w:rPr>
        <w:t>המעשה המגונה האולטימטיבי</w:t>
      </w:r>
      <w:r>
        <w:rPr>
          <w:rtl w:val="true"/>
        </w:rPr>
        <w:t xml:space="preserve">", </w:t>
      </w:r>
      <w:r>
        <w:rPr>
          <w:rtl w:val="true"/>
        </w:rPr>
        <w:t>ועל אלה עליו להיענש בהתאם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המבקשת מפנה לעברו הפלילי של הנאשם</w:t>
      </w:r>
      <w:r>
        <w:rPr>
          <w:rtl w:val="true"/>
        </w:rPr>
        <w:t xml:space="preserve">, </w:t>
      </w:r>
      <w:r>
        <w:rPr>
          <w:rtl w:val="true"/>
        </w:rPr>
        <w:t>המלמד על חוסר מורא מהחוק וחוסר הכבוד לאלו הממונים על אכיפתו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עוד לטענתה מן הראוי שייזקף לחובת הנאשם</w:t>
      </w:r>
      <w:r>
        <w:rPr>
          <w:rtl w:val="true"/>
        </w:rPr>
        <w:t xml:space="preserve">, </w:t>
      </w:r>
      <w:r>
        <w:rPr>
          <w:rtl w:val="true"/>
        </w:rPr>
        <w:t>גילו המבוגר</w:t>
      </w:r>
      <w:r>
        <w:rPr>
          <w:rtl w:val="true"/>
        </w:rPr>
        <w:t xml:space="preserve">, </w:t>
      </w:r>
      <w:r>
        <w:rPr>
          <w:rtl w:val="true"/>
        </w:rPr>
        <w:t>נוכח פער הגילים בינו לבין המתלוננת</w:t>
      </w:r>
      <w:r>
        <w:rPr>
          <w:rtl w:val="true"/>
        </w:rPr>
        <w:t xml:space="preserve">, </w:t>
      </w:r>
      <w:r>
        <w:rPr>
          <w:rtl w:val="true"/>
        </w:rPr>
        <w:t>והשימוש שעשה בגילו המתקדם כדי לפתות את המתלוננות שתיהן להיכנס לרכבו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המבקשת מפנה לכך כי העבירה נשוא התיק הנוסף</w:t>
      </w:r>
      <w:r>
        <w:rPr>
          <w:rtl w:val="true"/>
        </w:rPr>
        <w:t xml:space="preserve">, </w:t>
      </w:r>
      <w:r>
        <w:rPr>
          <w:rtl w:val="true"/>
        </w:rPr>
        <w:t xml:space="preserve">בוצעה בשנת </w:t>
      </w:r>
      <w:r>
        <w:rPr>
          <w:u w:val="single"/>
        </w:rPr>
        <w:t>06</w:t>
      </w:r>
      <w:r>
        <w:rPr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אולם לא פוענחה עד לשנת </w:t>
      </w:r>
      <w:r>
        <w:rPr/>
        <w:t>09</w:t>
      </w:r>
      <w:r>
        <w:rPr>
          <w:rtl w:val="true"/>
        </w:rPr>
        <w:t xml:space="preserve">', </w:t>
      </w:r>
      <w:r>
        <w:rPr>
          <w:rtl w:val="true"/>
        </w:rPr>
        <w:t xml:space="preserve">אז נלקחה מן הנאשם דגימת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אשר תאמה התאמה מלאה לדגימה שנלקחה מבגדי המתלוננת השנייה בשנת </w:t>
      </w:r>
      <w:r>
        <w:rPr/>
        <w:t>06</w:t>
      </w:r>
      <w:r>
        <w:rPr>
          <w:rtl w:val="true"/>
        </w:rPr>
        <w:t xml:space="preserve">'.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 ניתן לומר על הצד המהות כי הנאשם שלפנינו נעדר עבר פלילי בעבירות מין שכן לאמיתו של דבר</w:t>
      </w:r>
      <w:r>
        <w:rPr>
          <w:rtl w:val="true"/>
        </w:rPr>
        <w:t xml:space="preserve">,  </w:t>
      </w:r>
      <w:r>
        <w:rPr>
          <w:rtl w:val="true"/>
        </w:rPr>
        <w:t xml:space="preserve">ביצע את העבירה נשוא כתב האישום המתוקן בשנת </w:t>
      </w:r>
      <w:r>
        <w:rPr/>
        <w:t>09</w:t>
      </w:r>
      <w:r>
        <w:rPr>
          <w:rtl w:val="true"/>
        </w:rPr>
        <w:t xml:space="preserve">', </w:t>
      </w:r>
      <w:r>
        <w:rPr>
          <w:rtl w:val="true"/>
        </w:rPr>
        <w:t>כאשר בעברו כבר ביצע עבירת מין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המבקשת גם יש לתת משקל מוגבל להודיית הנאשם</w:t>
      </w:r>
      <w:r>
        <w:rPr>
          <w:rtl w:val="true"/>
        </w:rPr>
        <w:t xml:space="preserve">, </w:t>
      </w:r>
      <w:r>
        <w:rPr>
          <w:rtl w:val="true"/>
        </w:rPr>
        <w:t>אשר נשמעה לאחר ישיבת הוכחות אחת</w:t>
      </w:r>
      <w:r>
        <w:rPr>
          <w:rtl w:val="true"/>
        </w:rPr>
        <w:t xml:space="preserve">, </w:t>
      </w:r>
      <w:r>
        <w:rPr>
          <w:rtl w:val="true"/>
        </w:rPr>
        <w:t>ולאחר שנשמעה עדותה החד משמעית של חוקרת הילדים אשר גבתה את עדות המתלוננת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נוכח השימוש ברכב בעת ביצוע העבירות</w:t>
      </w:r>
      <w:r>
        <w:rPr>
          <w:rtl w:val="true"/>
        </w:rPr>
        <w:t xml:space="preserve">, </w:t>
      </w:r>
      <w:r>
        <w:rPr>
          <w:rtl w:val="true"/>
        </w:rPr>
        <w:t>עותרת ב</w:t>
      </w:r>
      <w:r>
        <w:rPr>
          <w:rtl w:val="true"/>
        </w:rPr>
        <w:t>"</w:t>
      </w:r>
      <w:r>
        <w:rPr>
          <w:rtl w:val="true"/>
        </w:rPr>
        <w:t>כ המבקשת להשתת תקופת פסילה בפועל על הנאשם</w:t>
      </w:r>
      <w:r>
        <w:rPr>
          <w:rtl w:val="true"/>
        </w:rPr>
        <w:t xml:space="preserve">. </w:t>
      </w:r>
      <w:r>
        <w:rPr>
          <w:rtl w:val="true"/>
        </w:rPr>
        <w:t>באשר לפיצוי</w:t>
      </w:r>
      <w:r>
        <w:rPr>
          <w:rtl w:val="true"/>
        </w:rPr>
        <w:t xml:space="preserve">, </w:t>
      </w:r>
      <w:r>
        <w:rPr>
          <w:rtl w:val="true"/>
        </w:rPr>
        <w:t>מפנה המבקשת לתסקירים המעידים על הפגיעה העצומה בנפגעות והשלכותיה היומיומיות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מפנה לנסיבות חייהן הלא פשוטות של המתלוננות</w:t>
      </w:r>
      <w:r>
        <w:rPr>
          <w:rtl w:val="true"/>
        </w:rPr>
        <w:t xml:space="preserve">,  </w:t>
      </w:r>
      <w:r>
        <w:rPr>
          <w:rtl w:val="true"/>
        </w:rPr>
        <w:t>טרם ולאחר ביצוע המעשים נשוא כתבי האישום</w:t>
      </w:r>
      <w:r>
        <w:rPr>
          <w:rtl w:val="true"/>
        </w:rPr>
        <w:t xml:space="preserve">, </w:t>
      </w:r>
      <w:r>
        <w:rPr>
          <w:rtl w:val="true"/>
        </w:rPr>
        <w:t>כאשר ללא פיצוי הולם</w:t>
      </w:r>
      <w:r>
        <w:rPr>
          <w:rtl w:val="true"/>
        </w:rPr>
        <w:t xml:space="preserve">, </w:t>
      </w:r>
      <w:r>
        <w:rPr>
          <w:rtl w:val="true"/>
        </w:rPr>
        <w:t>קלושים הסיכויים כי המתלוננות תקבלנה טיפול מקצועי הולם בטראומה שנגרמה להן בעקבות האירועים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לאור מכלול המפורט</w:t>
      </w:r>
      <w:r>
        <w:rPr>
          <w:rtl w:val="true"/>
        </w:rPr>
        <w:t xml:space="preserve">, </w:t>
      </w:r>
      <w:r>
        <w:rPr>
          <w:rtl w:val="true"/>
        </w:rPr>
        <w:t>עתרה ב</w:t>
      </w:r>
      <w:r>
        <w:rPr>
          <w:rtl w:val="true"/>
        </w:rPr>
        <w:t>"</w:t>
      </w:r>
      <w:r>
        <w:rPr>
          <w:rtl w:val="true"/>
        </w:rPr>
        <w:t>כ המבקשת לעונש מאסר ארוך דו ספרתי</w:t>
      </w:r>
      <w:r>
        <w:rPr>
          <w:rtl w:val="true"/>
        </w:rPr>
        <w:t xml:space="preserve">, </w:t>
      </w:r>
      <w:r>
        <w:rPr>
          <w:rtl w:val="true"/>
        </w:rPr>
        <w:t>משמעותי ומרתיע</w:t>
      </w:r>
      <w:r>
        <w:rPr>
          <w:rtl w:val="true"/>
        </w:rPr>
        <w:t xml:space="preserve">, </w:t>
      </w:r>
      <w:r>
        <w:rPr>
          <w:rtl w:val="true"/>
        </w:rPr>
        <w:t>כן מבוקש עונש 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ופיצוי הולם לכל אחת מהנפגעות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 לעונש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את רחמי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מדגיש כי הנאשם בן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בקירוב וסובל מסוכרת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 יש לתת משקל לכך שהמאשימה ראתה להסכים להסדר טיעון בעניינו של כתב האישום המתוקן</w:t>
      </w:r>
      <w:r>
        <w:rPr>
          <w:rtl w:val="true"/>
        </w:rPr>
        <w:t xml:space="preserve">, </w:t>
      </w:r>
      <w:r>
        <w:rPr>
          <w:rtl w:val="true"/>
        </w:rPr>
        <w:t>ולעשות שינויים מרחיקי לכת בעובדות כתב האישום</w:t>
      </w:r>
      <w:r>
        <w:rPr>
          <w:rtl w:val="true"/>
        </w:rPr>
        <w:t xml:space="preserve">, </w:t>
      </w:r>
      <w:r>
        <w:rPr>
          <w:rtl w:val="true"/>
        </w:rPr>
        <w:t>לרבות הסרת עבירת החטיפה</w:t>
      </w:r>
      <w:r>
        <w:rPr>
          <w:rtl w:val="true"/>
        </w:rPr>
        <w:t xml:space="preserve">, </w:t>
      </w:r>
      <w:r>
        <w:rPr>
          <w:rtl w:val="true"/>
        </w:rPr>
        <w:t>כאשר מיד לאחר מכן הודה הנאשם</w:t>
      </w:r>
      <w:r>
        <w:rPr>
          <w:rtl w:val="true"/>
        </w:rPr>
        <w:t xml:space="preserve">. 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 הודאת הנאשם יש בה להצביע על נטילת אחריות מצידו</w:t>
      </w:r>
      <w:r>
        <w:rPr>
          <w:rtl w:val="true"/>
        </w:rPr>
        <w:t xml:space="preserve">. </w:t>
      </w:r>
      <w:r>
        <w:rPr>
          <w:rtl w:val="true"/>
        </w:rPr>
        <w:t>כן יש לתת משקל משמעותי לקולא לכך שהמתלוננות ובני משפחתן לא נאלצו להעיד וזאת מעבר לחסכון בזמן שיפוטי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הקושי הוורבלי עמד לנאשם לרועץ</w:t>
      </w:r>
      <w:r>
        <w:rPr>
          <w:rtl w:val="true"/>
        </w:rPr>
        <w:t xml:space="preserve">, </w:t>
      </w:r>
      <w:r>
        <w:rPr>
          <w:rtl w:val="true"/>
        </w:rPr>
        <w:t>בפני קצינת המבחן ומעריכת המסוכנות</w:t>
      </w:r>
      <w:r>
        <w:rPr>
          <w:rtl w:val="true"/>
        </w:rPr>
        <w:t xml:space="preserve">, </w:t>
      </w:r>
      <w:r>
        <w:rPr>
          <w:rtl w:val="true"/>
        </w:rPr>
        <w:t>כשהתבטאויותיו בפניהן אינן מעידות על אי לקיחת אחריות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 התייחס לכך שמדובר באדם פרימיטיבי</w:t>
      </w:r>
      <w:r>
        <w:rPr>
          <w:rtl w:val="true"/>
        </w:rPr>
        <w:t xml:space="preserve">, </w:t>
      </w:r>
      <w:r>
        <w:rPr>
          <w:rtl w:val="true"/>
        </w:rPr>
        <w:t>שהמרחק בינו לבין מושגים טיפוליים הוא רב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עוד לטענתו</w:t>
      </w:r>
      <w:r>
        <w:rPr>
          <w:rtl w:val="true"/>
        </w:rPr>
        <w:t xml:space="preserve">, </w:t>
      </w:r>
      <w:r>
        <w:rPr>
          <w:rtl w:val="true"/>
        </w:rPr>
        <w:t>יש לתת משקל לצירוף התיק הנוסף</w:t>
      </w:r>
      <w:r>
        <w:rPr>
          <w:rtl w:val="true"/>
        </w:rPr>
        <w:t xml:space="preserve">, </w:t>
      </w:r>
      <w:r>
        <w:rPr>
          <w:rtl w:val="true"/>
        </w:rPr>
        <w:t>כמשקף את יעילות השלמת ההליכים כנגד הנאשם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לנאשם אין עבר פלילי מכביד</w:t>
      </w:r>
      <w:r>
        <w:rPr>
          <w:rtl w:val="true"/>
        </w:rPr>
        <w:t xml:space="preserve">, </w:t>
      </w:r>
      <w:r>
        <w:rPr>
          <w:rtl w:val="true"/>
        </w:rPr>
        <w:t>בדגש לכך שאין לו הרשעה קודמת בגין עבירות מין</w:t>
      </w:r>
      <w:r>
        <w:rPr>
          <w:rtl w:val="true"/>
        </w:rPr>
        <w:t xml:space="preserve">, </w:t>
      </w:r>
      <w:r>
        <w:rPr>
          <w:rtl w:val="true"/>
        </w:rPr>
        <w:t>כשזה עיקר לעינינו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עוד לטענתו</w:t>
      </w:r>
      <w:r>
        <w:rPr>
          <w:rtl w:val="true"/>
        </w:rPr>
        <w:t xml:space="preserve">, </w:t>
      </w:r>
      <w:r>
        <w:rPr>
          <w:rtl w:val="true"/>
        </w:rPr>
        <w:t>הנאשם באמצעות משפחתו פנו לגורמים טיפוליים שיסיעו לו במהלך מאסרו</w:t>
      </w:r>
      <w:r>
        <w:rPr>
          <w:rtl w:val="true"/>
        </w:rPr>
        <w:t xml:space="preserve">, </w:t>
      </w:r>
      <w:r>
        <w:rPr>
          <w:rtl w:val="true"/>
        </w:rPr>
        <w:t>והוא מצטער מכה על חטא ורוצה לפצות את הקורבנות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הגיש פסיקה של מקרים דומים בהם הושתו עונשי מאסר מתונים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מדגיש</w:t>
      </w:r>
      <w:r>
        <w:rPr>
          <w:rtl w:val="true"/>
        </w:rPr>
        <w:t xml:space="preserve">, </w:t>
      </w:r>
      <w:r>
        <w:rPr>
          <w:rtl w:val="true"/>
        </w:rPr>
        <w:t>כי מבלי להקל ראש בעבירות שבוצעו</w:t>
      </w:r>
      <w:r>
        <w:rPr>
          <w:rtl w:val="true"/>
        </w:rPr>
        <w:t xml:space="preserve">, </w:t>
      </w:r>
      <w:r>
        <w:rPr>
          <w:rtl w:val="true"/>
        </w:rPr>
        <w:t>הרי יש סוף סוף  לשים את הדברים בפרופורציות הנכונות</w:t>
      </w:r>
      <w:r>
        <w:rPr>
          <w:rtl w:val="true"/>
        </w:rPr>
        <w:t xml:space="preserve">, </w:t>
      </w:r>
      <w:r>
        <w:rPr>
          <w:rtl w:val="true"/>
        </w:rPr>
        <w:t>כשבענייננו</w:t>
      </w:r>
      <w:r>
        <w:rPr>
          <w:rtl w:val="true"/>
        </w:rPr>
        <w:t xml:space="preserve">, </w:t>
      </w:r>
      <w:r>
        <w:rPr>
          <w:rtl w:val="true"/>
        </w:rPr>
        <w:t>אין מדובר בתיק אונס אלא בתיק מעשים מגונים שאינו במדרג חומרה גבוה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דברי הנאשם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הנאשם לו ניתנה רשות המילה האחרונה</w:t>
      </w:r>
      <w:r>
        <w:rPr>
          <w:rtl w:val="true"/>
        </w:rPr>
        <w:t xml:space="preserve">, </w:t>
      </w:r>
      <w:r>
        <w:rPr>
          <w:rtl w:val="true"/>
        </w:rPr>
        <w:t xml:space="preserve">אמר כי הוא מצטער על מה שהיה והוא מבקש מבית המשפט להתחשב במצבו 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b/>
          <w:b/>
          <w:bCs/>
          <w:u w:val="single"/>
          <w:rtl w:val="true"/>
        </w:rPr>
        <w:t>דיון והכרעה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שני כתבי האישום המתוקנים שבפנינו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מלמדים על נאשם מסוכן ומניפולטיבי אשר אינו בוחל באמצעים לביצוע מעשיו המגונים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לשם גירויו וסיפוקו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תוך שהוא כופה עצמו על קורבנותיו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משפיל ומבזה אותן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וזאת למרות התנגדותן ובכיין</w:t>
      </w:r>
      <w:r>
        <w:rPr>
          <w:rFonts w:cs="DavidFix;Times New Roman" w:ascii="DavidFix;Times New Roman" w:hAnsi="DavidFix;Times New Roman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נדגיש כי גזר דין זה</w:t>
      </w:r>
      <w:r>
        <w:rPr>
          <w:rFonts w:cs="DavidFix;Times New Roman" w:ascii="DavidFix;Times New Roman" w:hAnsi="DavidFix;Times New Roman"/>
          <w:rtl w:val="true"/>
        </w:rPr>
        <w:t>,</w:t>
      </w:r>
      <w:r>
        <w:rPr>
          <w:rFonts w:ascii="DavidFix;Times New Roman" w:hAnsi="DavidFix;Times New Roman" w:cs="DavidFix;Times New Roman"/>
          <w:rtl w:val="true"/>
        </w:rPr>
        <w:t>עוסק בשני מקריי עבירה נפרדים לחלוטין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 xml:space="preserve">אשר אירועו בפער של </w:t>
      </w:r>
      <w:r>
        <w:rPr>
          <w:rFonts w:cs="DavidFix;Times New Roman" w:ascii="DavidFix;Times New Roman" w:hAnsi="DavidFix;Times New Roman"/>
        </w:rPr>
        <w:t>3</w:t>
      </w:r>
      <w:r>
        <w:rPr>
          <w:rFonts w:cs="DavidFix;Times New Roman" w:ascii="DavidFix;Times New Roman" w:hAnsi="DavidFix;Times New Roman"/>
          <w:rtl w:val="true"/>
        </w:rPr>
        <w:t xml:space="preserve"> </w:t>
      </w:r>
      <w:r>
        <w:rPr>
          <w:rFonts w:ascii="DavidFix;Times New Roman" w:hAnsi="DavidFix;Times New Roman" w:cs="DavidFix;Times New Roman"/>
          <w:rtl w:val="true"/>
        </w:rPr>
        <w:t>שנים האחד מן השני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כאשר תפיסתו של הנאשם בכף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בעקבות האירועים במקרה המאוחר בזמן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הובילו כאמור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למציאת התאמת ה</w:t>
      </w:r>
      <w:r>
        <w:rPr>
          <w:rFonts w:cs="DavidFix;Times New Roman" w:ascii="DavidFix;Times New Roman" w:hAnsi="DavidFix;Times New Roman"/>
          <w:rtl w:val="true"/>
        </w:rPr>
        <w:t>-</w:t>
      </w:r>
      <w:r>
        <w:rPr>
          <w:rFonts w:cs="DavidFix;Times New Roman" w:ascii="DavidFix;Times New Roman" w:hAnsi="DavidFix;Times New Roman"/>
        </w:rPr>
        <w:t>DNA</w:t>
      </w:r>
      <w:r>
        <w:rPr>
          <w:rFonts w:cs="DavidFix;Times New Roman" w:ascii="DavidFix;Times New Roman" w:hAnsi="DavidFix;Times New Roman"/>
          <w:rtl w:val="true"/>
        </w:rPr>
        <w:t xml:space="preserve"> </w:t>
      </w:r>
      <w:r>
        <w:rPr>
          <w:rFonts w:cs="DavidFix;Times New Roman" w:ascii="DavidFix;Times New Roman" w:hAnsi="DavidFix;Times New Roman"/>
          <w:rtl w:val="true"/>
        </w:rPr>
        <w:t xml:space="preserve"> </w:t>
      </w:r>
      <w:r>
        <w:rPr>
          <w:rFonts w:ascii="DavidFix;Times New Roman" w:hAnsi="DavidFix;Times New Roman" w:cs="DavidFix;Times New Roman"/>
          <w:rtl w:val="true"/>
        </w:rPr>
        <w:t>של הנאשם לזה שנלקח מבגדי המתלוננת השנייה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באירוע הקודם בזמן</w:t>
      </w:r>
      <w:r>
        <w:rPr>
          <w:rFonts w:cs="DavidFix;Times New Roman" w:ascii="DavidFix;Times New Roman" w:hAnsi="DavidFix;Times New Roman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בחינת הנתונים בתיק זה כפי שפורט לעיל ויפורט להלן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מלמדת על מכלול רב של שיקולים הנזקפים לחובת הנאשם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כולל אלו הנוגעים לנאשם בעצמו על מסוכנותו הרבה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לעבירות אותן ביצע ולנסיבותיהן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לרבות הנלמד משילובם של שני המקרים דנן על דפוסי ההתנהגות העולים מהם מנגד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ניתן למנות מעט מאוד שיקולים לזכותו של הנאשם</w:t>
      </w:r>
      <w:r>
        <w:rPr>
          <w:rFonts w:cs="DavidFix;Times New Roman" w:ascii="DavidFix;Times New Roman" w:hAnsi="DavidFix;Times New Roman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cs="DavidFix;Times New Roman" w:ascii="DavidFix;Times New Roman" w:hAnsi="DavidFix;Times New Roman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-2"/>
        </w:rPr>
      </w:pPr>
      <w:r>
        <w:rPr>
          <w:rtl w:val="true"/>
        </w:rPr>
        <w:t>על חומרתן של העבירות בהן הורשע המערער איננו רואים צורך להכביר מילים</w:t>
      </w:r>
      <w:r>
        <w:rPr>
          <w:rtl w:val="true"/>
        </w:rPr>
        <w:t xml:space="preserve">. </w:t>
      </w:r>
      <w:r>
        <w:rPr>
          <w:rtl w:val="true"/>
        </w:rPr>
        <w:t>נאמר כבר לא אחת שעבירות מסוג זה מותירות חותם בנפשו של קורבנן</w:t>
      </w:r>
      <w:r>
        <w:rPr>
          <w:rtl w:val="true"/>
        </w:rPr>
        <w:t xml:space="preserve">, </w:t>
      </w:r>
      <w:r>
        <w:rPr>
          <w:rtl w:val="true"/>
        </w:rPr>
        <w:t xml:space="preserve">חותם אשר רק הזמן והתמיכה של הסובבים אותו יכולים אולי להקהותו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3582/08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06.11.08</w:t>
      </w:r>
      <w:r>
        <w:rPr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-2"/>
        </w:rPr>
      </w:pPr>
      <w:r>
        <w:rPr>
          <w:spacing w:val="-2"/>
          <w:rtl w:val="true"/>
        </w:rPr>
        <w:t>בנוסף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וככלל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העבירות נתפסות בעיני המחוקק כבעלות חומרה יתרה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כשלצידן קבועים בהתאמה לכתבי האישום המתוקנים בענייננו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עונשים בני עשר ושבע שנות מאסר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וכן חלה לגביהן חובת הטלת עונש מאסר </w:t>
      </w:r>
      <w:r>
        <w:rPr>
          <w:spacing w:val="-2"/>
          <w:rtl w:val="true"/>
        </w:rPr>
        <w:t>(</w:t>
      </w:r>
      <w:r>
        <w:rPr>
          <w:spacing w:val="-2"/>
          <w:rtl w:val="true"/>
        </w:rPr>
        <w:t>בפועל ו</w:t>
      </w:r>
      <w:r>
        <w:rPr>
          <w:spacing w:val="-2"/>
          <w:rtl w:val="true"/>
        </w:rPr>
        <w:t>/</w:t>
      </w:r>
      <w:r>
        <w:rPr>
          <w:spacing w:val="-2"/>
          <w:rtl w:val="true"/>
        </w:rPr>
        <w:t>או על תנאי</w:t>
      </w:r>
      <w:r>
        <w:rPr>
          <w:spacing w:val="-2"/>
          <w:rtl w:val="true"/>
        </w:rPr>
        <w:t xml:space="preserve">) </w:t>
      </w:r>
      <w:r>
        <w:rPr>
          <w:spacing w:val="-2"/>
          <w:rtl w:val="true"/>
        </w:rPr>
        <w:t xml:space="preserve">לתקופת מינימום של רבע מהעונש המרבי כמצוות </w:t>
      </w:r>
      <w:hyperlink r:id="rId21">
        <w:r>
          <w:rPr>
            <w:rStyle w:val="Hyperlink"/>
            <w:spacing w:val="-2"/>
            <w:rtl w:val="true"/>
          </w:rPr>
          <w:t>סעיף</w:t>
        </w:r>
        <w:r>
          <w:rPr>
            <w:rStyle w:val="Hyperlink"/>
            <w:spacing w:val="-2"/>
            <w:rtl w:val="true"/>
          </w:rPr>
          <w:t xml:space="preserve"> </w:t>
        </w:r>
        <w:r>
          <w:rPr>
            <w:rStyle w:val="Hyperlink"/>
            <w:spacing w:val="-2"/>
          </w:rPr>
          <w:t>355</w:t>
        </w:r>
      </w:hyperlink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לחוק</w:t>
      </w:r>
      <w:r>
        <w:rPr>
          <w:spacing w:val="-2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בהקשר זה הבהיר בית המשפט העליון כי</w:t>
      </w:r>
      <w:r>
        <w:rPr>
          <w:spacing w:val="-2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בשנים האחרונות נזקק המחוקק בישראל לשינויים חקיקתיים בעבירות המין יותר מאשר בכל העבירות הפליליות האחרות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מגמתם העיקרית של שינויים אלה מבטאת את הנטייה להחמרה משמעותית במידת העונש המרבי שנקבע לעבירות הללו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יתרה מזאת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המחוקק קבע עונשי מינימום בגין עבירות 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עונשים המבטאים את הגישה כי יש להתייחס לעבירות מין כאל קטגוריה מיוחדת של עבירות חמורות</w:t>
      </w:r>
      <w:r>
        <w:rPr>
          <w:b/>
          <w:bCs/>
          <w:rtl w:val="true"/>
        </w:rPr>
        <w:t>"</w:t>
      </w:r>
      <w:r>
        <w:rPr>
          <w:spacing w:val="-2"/>
          <w:rtl w:val="true"/>
        </w:rPr>
        <w:t xml:space="preserve"> (</w:t>
      </w:r>
      <w:hyperlink r:id="rId22">
        <w:r>
          <w:rPr>
            <w:rStyle w:val="Hyperlink"/>
            <w:spacing w:val="-2"/>
            <w:rtl w:val="true"/>
          </w:rPr>
          <w:t>ע</w:t>
        </w:r>
        <w:r>
          <w:rPr>
            <w:rStyle w:val="Hyperlink"/>
            <w:spacing w:val="-2"/>
            <w:rtl w:val="true"/>
          </w:rPr>
          <w:t>"</w:t>
        </w:r>
        <w:r>
          <w:rPr>
            <w:rStyle w:val="Hyperlink"/>
            <w:spacing w:val="-2"/>
            <w:rtl w:val="true"/>
          </w:rPr>
          <w:t xml:space="preserve">פ </w:t>
        </w:r>
        <w:r>
          <w:rPr>
            <w:rStyle w:val="Hyperlink"/>
            <w:spacing w:val="-2"/>
          </w:rPr>
          <w:t>4890/01</w:t>
        </w:r>
      </w:hyperlink>
      <w:r>
        <w:rPr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פלוני נ</w:t>
      </w:r>
      <w:r>
        <w:rPr>
          <w:b/>
          <w:bCs/>
          <w:spacing w:val="-2"/>
          <w:rtl w:val="true"/>
        </w:rPr>
        <w:t xml:space="preserve">' </w:t>
      </w:r>
      <w:r>
        <w:rPr>
          <w:b/>
          <w:b/>
          <w:bCs/>
          <w:spacing w:val="-2"/>
          <w:rtl w:val="true"/>
        </w:rPr>
        <w:t>מ</w:t>
      </w:r>
      <w:r>
        <w:rPr>
          <w:b/>
          <w:bCs/>
          <w:spacing w:val="-2"/>
          <w:rtl w:val="true"/>
        </w:rPr>
        <w:t>"</w:t>
      </w:r>
      <w:r>
        <w:rPr>
          <w:b/>
          <w:b/>
          <w:bCs/>
          <w:spacing w:val="-2"/>
          <w:rtl w:val="true"/>
        </w:rPr>
        <w:t xml:space="preserve">י </w:t>
      </w:r>
      <w:r>
        <w:rPr>
          <w:spacing w:val="-2"/>
          <w:rtl w:val="true"/>
        </w:rPr>
        <w:t>(</w:t>
      </w:r>
      <w:r>
        <w:rPr>
          <w:spacing w:val="-2"/>
        </w:rPr>
        <w:t>18.10.01</w:t>
      </w:r>
      <w:r>
        <w:rPr>
          <w:spacing w:val="-2"/>
          <w:rtl w:val="true"/>
        </w:rPr>
        <w:t>)).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cs="DavidFix;Times New Roman" w:ascii="DavidFix;Times New Roman" w:hAnsi="DavidFix;Times New Roman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עיון ובחינה מדוקדקת של פסיקת בתי המשפט במקרים בהם בוצעו עבירות דומות לעניננו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מגלה מנעד רחב ביותר של ענישה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עד כי לא ניתן להצביע על רמת ענישה ממוצעת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כזו או אחרת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כשהאמור יש להניח משקף את הכלל לפיו הענישה היא לעולם אינדיבידואלית ותלוית נסיבות המקרה</w:t>
      </w:r>
      <w:r>
        <w:rPr>
          <w:rFonts w:cs="DavidFix;Times New Roman" w:ascii="DavidFix;Times New Roman" w:hAnsi="DavidFix;Times New Roman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eastAsia="DavidFix;Times New Roman" w:cs="DavidFix;Times New Roman" w:ascii="DavidFix;Times New Roman" w:hAnsi="DavidFix;Times New Roman"/>
          <w:rtl w:val="true"/>
        </w:rPr>
        <w:t xml:space="preserve"> </w:t>
      </w:r>
      <w:r>
        <w:rPr>
          <w:rFonts w:ascii="DavidFix;Times New Roman" w:hAnsi="DavidFix;Times New Roman" w:cs="DavidFix;Times New Roman"/>
          <w:rtl w:val="true"/>
        </w:rPr>
        <w:t>לאור האמור גם לא ראינו לנכון לסקור את הענישה שהושתה ובפסיקה שהוצגה לנו על ידי ב</w:t>
      </w:r>
      <w:r>
        <w:rPr>
          <w:rFonts w:cs="DavidFix;Times New Roman" w:ascii="DavidFix;Times New Roman" w:hAnsi="DavidFix;Times New Roman"/>
          <w:rtl w:val="true"/>
        </w:rPr>
        <w:t>"</w:t>
      </w:r>
      <w:r>
        <w:rPr>
          <w:rFonts w:ascii="DavidFix;Times New Roman" w:hAnsi="DavidFix;Times New Roman" w:cs="DavidFix;Times New Roman"/>
          <w:rtl w:val="true"/>
        </w:rPr>
        <w:t xml:space="preserve">כ המשיב </w:t>
      </w:r>
      <w:r>
        <w:rPr>
          <w:rFonts w:cs="DavidFix;Times New Roman" w:ascii="DavidFix;Times New Roman" w:hAnsi="DavidFix;Times New Roman"/>
        </w:rPr>
        <w:t>2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ופסיקה רלבנטית עקיפה נוספת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שנבחנה על ידנו</w:t>
      </w:r>
      <w:r>
        <w:rPr>
          <w:rFonts w:cs="DavidFix;Times New Roman" w:ascii="DavidFix;Times New Roman" w:hAnsi="DavidFix;Times New Roman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cs="DavidFix;Times New Roman" w:ascii="DavidFix;Times New Roman" w:hAnsi="DavidFix;Times New Roman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עובדות ונסיבות כתב האישום המתוקן הראשון פורטו לעיל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ואין צורך לחזור עליהן בהרחבה</w:t>
      </w:r>
      <w:r>
        <w:rPr>
          <w:rFonts w:cs="DavidFix;Times New Roman" w:ascii="DavidFix;Times New Roman" w:hAnsi="DavidFix;Times New Roman"/>
          <w:rtl w:val="true"/>
        </w:rPr>
        <w:t xml:space="preserve">. </w:t>
      </w:r>
      <w:r>
        <w:rPr>
          <w:rFonts w:ascii="DavidFix;Times New Roman" w:hAnsi="DavidFix;Times New Roman" w:cs="DavidFix;Times New Roman"/>
          <w:rtl w:val="true"/>
        </w:rPr>
        <w:t>נדגיש בעניין כי הנאשם פגש באקראי במתלוננת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 xml:space="preserve">שהייתה קטינה כבת </w:t>
      </w:r>
      <w:r>
        <w:rPr>
          <w:rFonts w:cs="DavidFix;Times New Roman" w:ascii="DavidFix;Times New Roman" w:hAnsi="DavidFix;Times New Roman"/>
        </w:rPr>
        <w:t>12</w:t>
      </w:r>
      <w:r>
        <w:rPr>
          <w:rFonts w:cs="DavidFix;Times New Roman" w:ascii="DavidFix;Times New Roman" w:hAnsi="DavidFix;Times New Roman"/>
          <w:rtl w:val="true"/>
        </w:rPr>
        <w:t xml:space="preserve"> </w:t>
      </w:r>
      <w:r>
        <w:rPr>
          <w:rFonts w:ascii="DavidFix;Times New Roman" w:hAnsi="DavidFix;Times New Roman" w:cs="DavidFix;Times New Roman"/>
          <w:rtl w:val="true"/>
        </w:rPr>
        <w:t>למועד האירועים</w:t>
      </w:r>
      <w:r>
        <w:rPr>
          <w:rFonts w:cs="DavidFix;Times New Roman" w:ascii="DavidFix;Times New Roman" w:hAnsi="DavidFix;Times New Roman"/>
          <w:rtl w:val="true"/>
        </w:rPr>
        <w:t>,</w:t>
      </w:r>
      <w:r>
        <w:rPr>
          <w:rFonts w:ascii="DavidFix;Times New Roman" w:hAnsi="DavidFix;Times New Roman" w:cs="DavidFix;Times New Roman"/>
          <w:rtl w:val="true"/>
        </w:rPr>
        <w:t>על כל המשתמע מכך</w:t>
      </w:r>
      <w:r>
        <w:rPr>
          <w:rFonts w:cs="DavidFix;Times New Roman" w:ascii="DavidFix;Times New Roman" w:hAnsi="DavidFix;Times New Roman"/>
          <w:rtl w:val="true"/>
        </w:rPr>
        <w:t xml:space="preserve">.  </w:t>
      </w:r>
      <w:r>
        <w:rPr>
          <w:rFonts w:ascii="DavidFix;Times New Roman" w:hAnsi="DavidFix;Times New Roman" w:cs="DavidFix;Times New Roman"/>
          <w:rtl w:val="true"/>
        </w:rPr>
        <w:t>הנאשם הכניס את המתלוננת בניגוד לרצונה לרכב באור יום ובטבורה של עיר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וללא מורא ותוך תעוזה רבה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 xml:space="preserve">ביצע במתלוננת  מעשים מגונים לסיפוק יצריו 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וזאת למרות בכייה</w:t>
      </w:r>
      <w:r>
        <w:rPr>
          <w:rFonts w:cs="DavidFix;Times New Roman" w:ascii="DavidFix;Times New Roman" w:hAnsi="DavidFix;Times New Roman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בהקשר זה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יש להוסיף כי אף שלכאורה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מעשי הנאשם בכתב אישום זה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אינם ברף הגבוה של המעשים המגונים בזיקה לפרטי האירועים שבוצעו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הרי יש לתת את הדעת לכך כי המעשים הופסקו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רק בעקבות  הגעתו של אחי המתלוננת לזירה אשר הציל אותה</w:t>
      </w:r>
      <w:r>
        <w:rPr>
          <w:rFonts w:cs="DavidFix;Times New Roman" w:ascii="DavidFix;Times New Roman" w:hAnsi="DavidFix;Times New Roman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cs="DavidFix;Times New Roman" w:ascii="DavidFix;Times New Roman" w:hAnsi="DavidFix;Times New Roman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Fix;Times New Roman" w:hAnsi="DavidFix;Times New Roman" w:cs="DavidFix;Times New Roman"/>
        </w:rPr>
      </w:pPr>
      <w:r>
        <w:rPr>
          <w:rFonts w:ascii="DavidFix;Times New Roman" w:hAnsi="DavidFix;Times New Roman" w:cs="DavidFix;Times New Roman"/>
          <w:rtl w:val="true"/>
        </w:rPr>
        <w:t>הלכה היא כי בתי המשפט מצווים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בעת גזירת הדין בתיקים שעניינם עבירות מין כלפי קטינים להגן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בראש ובראשונה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>על שלומם הגופני והנפשי של קטינים וחסרי ישע</w:t>
      </w:r>
      <w:r>
        <w:rPr>
          <w:rFonts w:cs="DavidFix;Times New Roman" w:ascii="DavidFix;Times New Roman" w:hAnsi="DavidFix;Times New Roman"/>
          <w:rtl w:val="true"/>
        </w:rPr>
        <w:t xml:space="preserve">, </w:t>
      </w:r>
      <w:r>
        <w:rPr>
          <w:rFonts w:ascii="DavidFix;Times New Roman" w:hAnsi="DavidFix;Times New Roman" w:cs="DavidFix;Times New Roman"/>
          <w:rtl w:val="true"/>
        </w:rPr>
        <w:t xml:space="preserve">כאשר העונש צריך לשקף את סלידתה של החברה מהמעשים ולהרתיע עבריינים פוטנציאליים אחרים </w:t>
      </w:r>
      <w:r>
        <w:rPr>
          <w:rFonts w:cs="DavidFix;Times New Roman" w:ascii="DavidFix;Times New Roman" w:hAnsi="DavidFix;Times New Roman"/>
          <w:rtl w:val="true"/>
        </w:rPr>
        <w:t>(</w:t>
      </w:r>
      <w:hyperlink r:id="rId23">
        <w:r>
          <w:rPr>
            <w:rStyle w:val="Hyperlink"/>
            <w:rFonts w:ascii="DavidFix;Times New Roman" w:hAnsi="DavidFix;Times New Roman" w:cs="DavidFix;Times New Roman"/>
            <w:rtl w:val="true"/>
          </w:rPr>
          <w:t>ע</w:t>
        </w:r>
        <w:r>
          <w:rPr>
            <w:rStyle w:val="Hyperlink"/>
            <w:rFonts w:cs="DavidFix;Times New Roman" w:ascii="DavidFix;Times New Roman" w:hAnsi="DavidFix;Times New Roman"/>
            <w:rtl w:val="true"/>
          </w:rPr>
          <w:t>"</w:t>
        </w:r>
        <w:r>
          <w:rPr>
            <w:rStyle w:val="Hyperlink"/>
            <w:rFonts w:ascii="DavidFix;Times New Roman" w:hAnsi="DavidFix;Times New Roman" w:cs="DavidFix;Times New Roman"/>
            <w:rtl w:val="true"/>
          </w:rPr>
          <w:t>פ</w:t>
        </w:r>
        <w:r>
          <w:rPr>
            <w:rStyle w:val="Hyperlink"/>
            <w:rFonts w:ascii="DavidFix;Times New Roman" w:hAnsi="DavidFix;Times New Roman" w:cs="DavidFix;Times New Roman"/>
            <w:rtl w:val="true"/>
          </w:rPr>
          <w:t xml:space="preserve"> </w:t>
        </w:r>
        <w:r>
          <w:rPr>
            <w:rStyle w:val="Hyperlink"/>
            <w:rFonts w:cs="DavidFix;Times New Roman" w:ascii="DavidFix;Times New Roman" w:hAnsi="DavidFix;Times New Roman"/>
          </w:rPr>
          <w:t>1385/06</w:t>
        </w:r>
      </w:hyperlink>
      <w:r>
        <w:rPr>
          <w:rFonts w:cs="DavidFix;Times New Roman" w:ascii="DavidFix;Times New Roman" w:hAnsi="DavidFix;Times New Roman"/>
          <w:rtl w:val="true"/>
        </w:rPr>
        <w:t xml:space="preserve"> </w:t>
      </w:r>
      <w:r>
        <w:rPr>
          <w:rFonts w:ascii="DavidFix;Times New Roman" w:hAnsi="DavidFix;Times New Roman" w:cs="DavidFix;Times New Roman"/>
          <w:b/>
          <w:b/>
          <w:bCs/>
          <w:rtl w:val="true"/>
        </w:rPr>
        <w:t>פלוני נ</w:t>
      </w:r>
      <w:r>
        <w:rPr>
          <w:rFonts w:cs="DavidFix;Times New Roman" w:ascii="DavidFix;Times New Roman" w:hAnsi="DavidFix;Times New Roman"/>
          <w:b/>
          <w:bCs/>
          <w:rtl w:val="true"/>
        </w:rPr>
        <w:t xml:space="preserve">' </w:t>
      </w:r>
      <w:r>
        <w:rPr>
          <w:rFonts w:ascii="DavidFix;Times New Roman" w:hAnsi="DavidFix;Times New Roman" w:cs="DavidFix;Times New Roman"/>
          <w:b/>
          <w:b/>
          <w:bCs/>
          <w:rtl w:val="true"/>
        </w:rPr>
        <w:t>מדינת ישראל</w:t>
      </w:r>
      <w:r>
        <w:rPr>
          <w:rFonts w:ascii="DavidFix;Times New Roman" w:hAnsi="DavidFix;Times New Roman" w:cs="DavidFix;Times New Roman"/>
          <w:rtl w:val="true"/>
        </w:rPr>
        <w:t xml:space="preserve"> </w:t>
      </w:r>
      <w:r>
        <w:rPr>
          <w:rFonts w:cs="DavidFix;Times New Roman" w:ascii="DavidFix;Times New Roman" w:hAnsi="DavidFix;Times New Roman"/>
          <w:rtl w:val="true"/>
        </w:rPr>
        <w:t>(</w:t>
      </w:r>
      <w:r>
        <w:rPr>
          <w:rFonts w:cs="DavidFix;Times New Roman" w:ascii="DavidFix;Times New Roman" w:hAnsi="DavidFix;Times New Roman"/>
        </w:rPr>
        <w:t>06.04.09</w:t>
      </w:r>
      <w:r>
        <w:rPr>
          <w:rFonts w:cs="DavidFix;Times New Roman" w:ascii="DavidFix;Times New Roman" w:hAnsi="DavidFix;Times New Roman"/>
          <w:rtl w:val="true"/>
        </w:rPr>
        <w:t>)).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>
          <w:rFonts w:ascii="DavidFix;Times New Roman" w:hAnsi="DavidFix;Times New Roman" w:cs="DavidFix;Times New Roman"/>
        </w:rPr>
      </w:pPr>
      <w:r>
        <w:rPr>
          <w:rFonts w:cs="DavidFix;Times New Roman" w:ascii="DavidFix;Times New Roman" w:hAnsi="DavidFix;Times New Roman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6929/06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31.03.08</w:t>
      </w:r>
      <w:r>
        <w:rPr>
          <w:rtl w:val="true"/>
        </w:rPr>
        <w:t xml:space="preserve">), </w:t>
      </w:r>
      <w:r>
        <w:rPr>
          <w:rtl w:val="true"/>
        </w:rPr>
        <w:t>נקבע כי יש להחמיר בענישתם של נאשמים המבצעים עבירות מין כלפי קטינים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BodyText2"/>
        <w:ind w:start="1106" w:end="90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חומרתן הרבה של עבירות המין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בפרט כאשר מדובר בעבירות שבוצעו כנגד קטינים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הודגשה לא פעם בפסיקתו של בית משפט 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נקבע כי יש להטיל על המבצע עבירות מסוג זה עונשים כבדים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כגמול על מעשיו ומתוך ביטוי לסלידתה העמוקה של החברה ממעשים אלו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/>
      </w:pPr>
      <w:r>
        <w:rPr>
          <w:rtl w:val="true"/>
        </w:rPr>
        <w:t>תסקיר נפגעת העבירה</w:t>
      </w:r>
      <w:r>
        <w:rPr>
          <w:rtl w:val="true"/>
        </w:rPr>
        <w:t xml:space="preserve">, </w:t>
      </w:r>
      <w:r>
        <w:rPr>
          <w:rtl w:val="true"/>
        </w:rPr>
        <w:t>שהוגש בנוגע למתלוננת</w:t>
      </w:r>
      <w:r>
        <w:rPr>
          <w:rtl w:val="true"/>
        </w:rPr>
        <w:t xml:space="preserve">, </w:t>
      </w:r>
      <w:r>
        <w:rPr>
          <w:rtl w:val="true"/>
        </w:rPr>
        <w:t>מלמד על הפגיעה הממשית בה</w:t>
      </w:r>
      <w:r>
        <w:rPr>
          <w:rtl w:val="true"/>
        </w:rPr>
        <w:t xml:space="preserve">, </w:t>
      </w:r>
      <w:r>
        <w:rPr>
          <w:rtl w:val="true"/>
        </w:rPr>
        <w:t>על השינוי לרעה בהתנהגותה בתקופה שלאחרי הפגיעה</w:t>
      </w:r>
      <w:r>
        <w:rPr>
          <w:rtl w:val="true"/>
        </w:rPr>
        <w:t xml:space="preserve">, </w:t>
      </w:r>
      <w:r>
        <w:rPr>
          <w:rtl w:val="true"/>
        </w:rPr>
        <w:t>ועל הקשיים היום יומיים עימם היא ובני משפחתה</w:t>
      </w:r>
      <w:r>
        <w:rPr>
          <w:rtl w:val="true"/>
        </w:rPr>
        <w:t xml:space="preserve">, </w:t>
      </w:r>
      <w:r>
        <w:rPr>
          <w:rtl w:val="true"/>
        </w:rPr>
        <w:t>אשר חייהם גם לא היו קלים טרם לכך</w:t>
      </w:r>
      <w:r>
        <w:rPr>
          <w:rtl w:val="true"/>
        </w:rPr>
        <w:t xml:space="preserve">, </w:t>
      </w:r>
      <w:r>
        <w:rPr>
          <w:rtl w:val="true"/>
        </w:rPr>
        <w:t>נאלצים להתמודד</w:t>
      </w:r>
      <w:r>
        <w:rPr>
          <w:rtl w:val="true"/>
        </w:rPr>
        <w:t>. (</w:t>
      </w:r>
      <w:r>
        <w:rPr>
          <w:rtl w:val="true"/>
        </w:rPr>
        <w:t>באשר להשפעת העבירה על קורבנה</w:t>
      </w:r>
      <w:r>
        <w:rPr>
          <w:rtl w:val="true"/>
        </w:rPr>
        <w:t xml:space="preserve">, </w:t>
      </w:r>
      <w:r>
        <w:rPr>
          <w:rtl w:val="true"/>
        </w:rPr>
        <w:t>על חייו ועל מצבו הגופני והנפשי נפנה למשל ל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3897/03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פלונים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נז</w:t>
        </w:r>
      </w:hyperlink>
      <w:r>
        <w:rPr>
          <w:spacing w:val="-2"/>
          <w:rtl w:val="true"/>
        </w:rPr>
        <w:t>(</w:t>
      </w:r>
      <w:r>
        <w:rPr>
          <w:spacing w:val="-2"/>
        </w:rPr>
        <w:t>6</w:t>
      </w:r>
      <w:r>
        <w:rPr>
          <w:spacing w:val="-2"/>
          <w:rtl w:val="true"/>
        </w:rPr>
        <w:t xml:space="preserve">) </w:t>
      </w:r>
      <w:r>
        <w:rPr>
          <w:spacing w:val="-2"/>
        </w:rPr>
        <w:t>175</w:t>
      </w:r>
      <w:r>
        <w:rPr>
          <w:spacing w:val="-2"/>
          <w:rtl w:val="true"/>
        </w:rPr>
        <w:t xml:space="preserve"> (</w:t>
      </w:r>
      <w:r>
        <w:rPr>
          <w:spacing w:val="-2"/>
        </w:rPr>
        <w:t>2003</w:t>
      </w:r>
      <w:r>
        <w:rPr>
          <w:spacing w:val="-2"/>
          <w:rtl w:val="true"/>
        </w:rPr>
        <w:t xml:space="preserve">), </w:t>
      </w:r>
      <w:r>
        <w:rPr>
          <w:spacing w:val="-2"/>
          <w:rtl w:val="true"/>
        </w:rPr>
        <w:t>וההפניות שם</w:t>
      </w:r>
      <w:r>
        <w:rPr>
          <w:spacing w:val="-2"/>
          <w:rtl w:val="true"/>
        </w:rPr>
        <w:t>).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 xml:space="preserve">בפרטי עובדות התיק הנוסף 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הנאשם דנן לא היסס בתחבולה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לבודד ולנצל מתלוננת תמימה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שוב באור יום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ותוך שנוקט כלפיה בצעקות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איומים וכפייה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על מנת לכפות את זממו ויצריו במתלוננת השנייה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תוך שהוא משפיל ומבזה אותה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נסיבות ביצוע התיק הנוסף שצורף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מלמדות גם הן על מסוכנותו הרבה של הנאשם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כשנסיבות אלו לעצמן אינן ברף הנמוך של עבירות המעשים המגונים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תסקיר קורבן העבירה מלמד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גם בעניינה של המתלוננת השנייה שהינה אישה מבוגרת בשנים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על ההשלכות החמורות של המקרה עליה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לרבות תחושות הפחד היום יומי שמלווה אותה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שינוי הרגליה ותחושות אובדן העצמאות והביטחון כפי שפורט בהרחבה לעיל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 xml:space="preserve">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כשיקולים נוספים ומרכזיים לחומרא ראינו להפנות למסקנות העולות הן מן התסקירים והן מחוות הדעת בסוגיית המסוכנות ולפיהן הנאשם אינו מגלה אמפטיה לקורבנותיו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אינו מכיר בבעייתיות שלו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אינו מגלה כל נזקקות טיפולית ולמעשה לא נמצא כל אפיק שיקומי עבורו עליו יכול להמליץ שרות המבחן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יתרה מכך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מעיון בתכנים הנ</w:t>
      </w:r>
      <w:r>
        <w:rPr>
          <w:spacing w:val="-2"/>
          <w:rtl w:val="true"/>
        </w:rPr>
        <w:t>"</w:t>
      </w:r>
      <w:r>
        <w:rPr>
          <w:spacing w:val="-2"/>
          <w:rtl w:val="true"/>
        </w:rPr>
        <w:t>ל עולה כי הנאשם תולה את האשם בשני המקרים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באופן זה או אחר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במתלוננות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ואף שהודה בביצוע המעשים והורשע על פי הודאתו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הוא למעשה  אינו לוקח אחריות אמיתית ואף אינו  מבין את הפסול במעשיו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המסקנות האמורות גם מפחיתות ממשקל ההודאה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כנסיבה לקולא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בהינתן כך שהיא למעשה חסרה חרטה כנה והכרה בחטא 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בנוסף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יש לשקול לחובתו של הנאשם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את עברו הפלילי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הטומן בחובו עבירות המעידות אם כי בפן אחר על היבטי אלימות על העדר מורה ופחד מפני הדין ונציגיו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זאת ועוד לאור השתלשלות האירועים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כפי שפורטה בטיעוני המבקשת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באשר לאופן פענוח התיק הנוסף</w:t>
      </w:r>
      <w:r>
        <w:rPr>
          <w:spacing w:val="-2"/>
          <w:rtl w:val="true"/>
        </w:rPr>
        <w:t xml:space="preserve">, </w:t>
      </w:r>
      <w:r>
        <w:rPr>
          <w:rtl w:val="true"/>
        </w:rPr>
        <w:t>לא ניתן לומר גם כי הנאשם שלפנינו נעדר עבר פלילי בעבירות מין</w:t>
      </w:r>
      <w:r>
        <w:rPr>
          <w:rtl w:val="true"/>
        </w:rPr>
        <w:t xml:space="preserve">, </w:t>
      </w:r>
      <w:r>
        <w:rPr>
          <w:rtl w:val="true"/>
        </w:rPr>
        <w:t>זאת ביחס למקרה השני בזמן נשוא כתב האישום המתוקן</w:t>
      </w:r>
      <w:r>
        <w:rPr>
          <w:rtl w:val="true"/>
        </w:rPr>
        <w:t xml:space="preserve">, </w:t>
      </w:r>
      <w:r>
        <w:rPr>
          <w:rtl w:val="true"/>
        </w:rPr>
        <w:t>שכן סופו של יום הוא ביצע את העבירה הנ</w:t>
      </w:r>
      <w:r>
        <w:rPr>
          <w:rtl w:val="true"/>
        </w:rPr>
        <w:t>"</w:t>
      </w:r>
      <w:r>
        <w:rPr>
          <w:rtl w:val="true"/>
        </w:rPr>
        <w:t xml:space="preserve">ל בשנת </w:t>
      </w:r>
      <w:r>
        <w:rPr/>
        <w:t>09</w:t>
      </w:r>
      <w:r>
        <w:rPr>
          <w:rtl w:val="true"/>
        </w:rPr>
        <w:t xml:space="preserve">', </w:t>
      </w:r>
      <w:r>
        <w:rPr>
          <w:rtl w:val="true"/>
        </w:rPr>
        <w:t>כאשר בעברו כבר ביצע עבירת מין כפי שהוכח ונקבע בדיעבד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בהקשר זה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אנו רואים להוסיף כי יש לזקוף  לחובתו של הנאשם את דפוס פעולתו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כפי שהוא עולה מקווי הדמיון בין שני המקרים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כשבשניהם הנאשם בחר בקורבנות אקראיים לחלוטין</w:t>
      </w:r>
      <w:r>
        <w:rPr>
          <w:spacing w:val="-2"/>
          <w:rtl w:val="true"/>
        </w:rPr>
        <w:t>, (</w:t>
      </w:r>
      <w:r>
        <w:rPr>
          <w:spacing w:val="-2"/>
          <w:rtl w:val="true"/>
        </w:rPr>
        <w:t>ואף מקבוצות גיל שונות</w:t>
      </w:r>
      <w:r>
        <w:rPr>
          <w:spacing w:val="-2"/>
          <w:rtl w:val="true"/>
        </w:rPr>
        <w:t xml:space="preserve">), </w:t>
      </w:r>
      <w:r>
        <w:rPr>
          <w:spacing w:val="-2"/>
          <w:rtl w:val="true"/>
        </w:rPr>
        <w:t>לאור יום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תוך שעשה שימוש ברכבו לצורך ביצוע העבירות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האמור גם משתלב עם חוות הדעת לעניין הערכת המסוכנות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שראתה נתונים אלה כנתונים מגבירי מסוכנות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 xml:space="preserve">כשחוות הדעת המשלימה מיום </w:t>
      </w:r>
      <w:r>
        <w:rPr>
          <w:spacing w:val="-2"/>
        </w:rPr>
        <w:t>16.01.11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קבעה כי מדובר בנאשם בעל רמת מסוכנות </w:t>
      </w:r>
      <w:r>
        <w:rPr>
          <w:b/>
          <w:b/>
          <w:bCs/>
          <w:spacing w:val="-2"/>
          <w:rtl w:val="true"/>
        </w:rPr>
        <w:t>בינונית</w:t>
      </w:r>
      <w:r>
        <w:rPr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גבוהה</w:t>
      </w:r>
      <w:r>
        <w:rPr>
          <w:spacing w:val="-2"/>
          <w:rtl w:val="true"/>
        </w:rPr>
        <w:t xml:space="preserve"> לטווח הארוך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כשמסקנה זו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במצורף להעדרו של אפיק טיפולי מחזקת את ההכרח ליתן בעינינו משקל ממשי במסגרת שקולי הענישה השונים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לשיקולי ההרתעה וההרחקה על פני שקולים אחרים רלוונטיים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אנו רואים להוסיף כי אכן גילו של הנאשם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וכפי שצוין בחוות הדעת המשלימה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אינו מהווה נסיבה לקולא בעניינו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 xml:space="preserve">האמור תקף הן </w:t>
      </w:r>
      <w:r>
        <w:rPr>
          <w:rtl w:val="true"/>
        </w:rPr>
        <w:t xml:space="preserve">לנוכח פער הגילאים העצום בינו לבין המתלוננת </w:t>
      </w:r>
      <w:r>
        <w:rPr>
          <w:rtl w:val="true"/>
        </w:rPr>
        <w:t>(</w:t>
      </w:r>
      <w:r>
        <w:rPr>
          <w:rtl w:val="true"/>
        </w:rPr>
        <w:t>למעלה 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), </w:t>
      </w:r>
      <w:r>
        <w:rPr>
          <w:rtl w:val="true"/>
        </w:rPr>
        <w:t>והן לנוכח השימוש שעשה הנאשם בגילו המתקדם כדי לפתות את המתלוננות שתיהן להיכנס לרכבו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>מנגד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לזכות הנאשם וכנסיבות מקלות בעניינו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שקלנו את הודאתו בשני התיקים בתואם לשלבים בה נמסרה ההודאה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הודאות אשר מלבד שחסכו זמן שיפוטי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 xml:space="preserve">גם ייתרו את הצורך להעיד את בני משפחתה של המתלוננת על המשתמע מכך ואת המתלוננת השנייה </w:t>
      </w:r>
      <w:r>
        <w:rPr>
          <w:spacing w:val="-2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  <w:t xml:space="preserve"> </w:t>
      </w:r>
      <w:r>
        <w:rPr>
          <w:spacing w:val="-2"/>
          <w:rtl w:val="true"/>
        </w:rPr>
        <w:t>כן נתנו משקל מוגבל לקולא לעובדת צירופו  של התיק הנוסף לגזר דין זה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על היעילות הדיונית הכרוכה בכך</w:t>
      </w:r>
      <w:r>
        <w:rPr>
          <w:spacing w:val="-2"/>
          <w:rtl w:val="true"/>
        </w:rPr>
        <w:t xml:space="preserve">. </w:t>
      </w:r>
      <w:r>
        <w:rPr>
          <w:spacing w:val="-2"/>
          <w:rtl w:val="true"/>
        </w:rPr>
        <w:t>בנוסף</w:t>
      </w:r>
      <w:r>
        <w:rPr>
          <w:spacing w:val="-2"/>
          <w:rtl w:val="true"/>
        </w:rPr>
        <w:t xml:space="preserve">, </w:t>
      </w:r>
      <w:r>
        <w:rPr>
          <w:spacing w:val="-2"/>
          <w:rtl w:val="true"/>
        </w:rPr>
        <w:t>שקלנו את מצבו הרפואי של הנאשם</w:t>
      </w:r>
      <w:r>
        <w:rPr>
          <w:spacing w:val="-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spacing w:val="-2"/>
        </w:rPr>
      </w:pPr>
      <w:r>
        <w:rPr>
          <w:spacing w:val="-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b/>
          <w:bCs/>
        </w:rPr>
      </w:pPr>
      <w:r>
        <w:rPr>
          <w:b/>
          <w:b/>
          <w:bCs/>
          <w:rtl w:val="true"/>
        </w:rPr>
        <w:t>בהתבסס על כל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ששקלנו את מכלול טענות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לקולא ולחומרא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 גוזרים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overflowPunct w:val="false"/>
        <w:autoSpaceDE w:val="false"/>
        <w:spacing w:lineRule="auto" w:line="360"/>
        <w:ind w:hanging="26"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>אנו דנים את הנאשם לחמש וחצי  שנות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ימי מעצרו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>אנו דנים את הנאשם לשנה וחצי מאסר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והתנאי הוא כי הנאשם לא יעבור ויורשע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מיום שחרורו מן המאסר אחת מעבירות המין בהן הורשע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כל עבירת מין מסוג פשע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>הנאשם ישלם פיצויים למתלוננות לפי החלוקה הבאה</w:t>
      </w:r>
      <w:r>
        <w:rPr>
          <w:b/>
          <w:bCs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למתלוננת בכתב האישום המתוקן– פיצויים בסך של </w:t>
      </w:r>
      <w:r>
        <w:rPr>
          <w:b/>
          <w:bCs/>
        </w:rPr>
        <w:t>15,000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אשר ייועדו כולם לטובת הטיפול הנדרש במתלוננת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תפעל למינוי אפוטרופוס כנאמן על הכספים האלו ותשלומם בהתאם לנדרש לאנשי המקצוע אשר יטפלו במתלוננת</w:t>
      </w:r>
      <w:r>
        <w:rPr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למתלוננת השנייה בכתב האישום המתוקן הנוסף– פיצויים בסך של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₪.</w:t>
      </w:r>
    </w:p>
    <w:p>
      <w:pPr>
        <w:pStyle w:val="Normal"/>
        <w:overflowPunct w:val="false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הפיצויים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ביחס לשתי המתלוננות ישולמו ב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רצופים ושווים החל מחודש </w:t>
      </w:r>
      <w:r>
        <w:rPr>
          <w:b/>
          <w:bCs/>
        </w:rPr>
        <w:t>7/11</w:t>
      </w:r>
      <w:r>
        <w:rPr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אנו מטילים על הנאשם קנס כספי בסך של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הקנס ישולם בחמישה 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רצופים ושווים החל מחודש </w:t>
      </w:r>
      <w:r>
        <w:rPr>
          <w:b/>
          <w:bCs/>
        </w:rPr>
        <w:t>7/11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תמורתם</w:t>
      </w:r>
      <w:r>
        <w:rPr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567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פסילת הנאשם בפועל מלהחזיק או לקבל רישיון נהיגה למשך שנתיים מיום שחרורו ממאסר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/>
        <w:ind w:start="26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napToGrid w:val="false"/>
        <w:spacing w:lineRule="auto" w:line="360"/>
        <w:ind w:start="26" w:end="0"/>
        <w:jc w:val="both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המזכירות תשלח העתק מגזר הדין למתלוננות על מנת שיעמדו על זכותם לפיצויים מהנאשם</w:t>
      </w:r>
      <w:r>
        <w:rPr>
          <w:b/>
          <w:bCs/>
          <w:sz w:val="20"/>
          <w:u w:val="single"/>
          <w:rtl w:val="true"/>
        </w:rPr>
        <w:t xml:space="preserve">. </w:t>
      </w:r>
      <w:r>
        <w:rPr>
          <w:b/>
          <w:b/>
          <w:bCs/>
          <w:sz w:val="20"/>
          <w:sz w:val="20"/>
          <w:u w:val="single"/>
          <w:rtl w:val="true"/>
        </w:rPr>
        <w:t>כמו כן</w:t>
      </w:r>
      <w:r>
        <w:rPr>
          <w:b/>
          <w:bCs/>
          <w:sz w:val="20"/>
          <w:u w:val="single"/>
          <w:rtl w:val="true"/>
        </w:rPr>
        <w:t xml:space="preserve">, </w:t>
      </w:r>
      <w:r>
        <w:rPr>
          <w:b/>
          <w:b/>
          <w:bCs/>
          <w:sz w:val="20"/>
          <w:sz w:val="20"/>
          <w:u w:val="single"/>
          <w:rtl w:val="true"/>
        </w:rPr>
        <w:t>תעביר מזכירות בית המשפט העתק מגזר הדין למרכז להערכת מסוכנות</w:t>
      </w:r>
      <w:r>
        <w:rPr>
          <w:b/>
          <w:bCs/>
          <w:sz w:val="20"/>
          <w:u w:val="single"/>
          <w:rtl w:val="true"/>
        </w:rPr>
        <w:t>.</w:t>
      </w:r>
    </w:p>
    <w:p>
      <w:pPr>
        <w:pStyle w:val="Normal"/>
        <w:snapToGrid w:val="false"/>
        <w:spacing w:lineRule="auto" w:line="360"/>
        <w:ind w:start="26" w:end="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720"/>
        <w:jc w:val="both"/>
        <w:rPr/>
      </w:pPr>
      <w:r>
        <w:rPr>
          <w:b/>
          <w:b/>
          <w:bCs/>
          <w:u w:val="single"/>
          <w:rtl w:val="true"/>
        </w:rPr>
        <w:t>זכות הערעור לבית המשפט 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הובהרה לצדדים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72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תאופיק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כתילי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אשר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קולה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דני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צרפתי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Fix">
    <w:altName w:val="Times New Roman"/>
    <w:charset w:val="00" w:characterSet="windows-125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אברהים חסארמה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567"/>
        </w:tabs>
        <w:ind w:start="567" w:hanging="567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6.a.1.a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48.c1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87.b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155052" TargetMode="External"/><Relationship Id="rId16" Type="http://schemas.openxmlformats.org/officeDocument/2006/relationships/hyperlink" Target="http://www.nevo.co.il/law/70301/348.c1" TargetMode="External"/><Relationship Id="rId17" Type="http://schemas.openxmlformats.org/officeDocument/2006/relationships/hyperlink" Target="http://www.nevo.co.il/law/70301/6.a.1.a" TargetMode="External"/><Relationship Id="rId18" Type="http://schemas.openxmlformats.org/officeDocument/2006/relationships/hyperlink" Target="http://www.nevo.co.il/law/74903/187.b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6245051" TargetMode="External"/><Relationship Id="rId21" Type="http://schemas.openxmlformats.org/officeDocument/2006/relationships/hyperlink" Target="http://www.nevo.co.il/law/70301/355" TargetMode="External"/><Relationship Id="rId22" Type="http://schemas.openxmlformats.org/officeDocument/2006/relationships/hyperlink" Target="http://www.nevo.co.il/case/5982047" TargetMode="External"/><Relationship Id="rId23" Type="http://schemas.openxmlformats.org/officeDocument/2006/relationships/hyperlink" Target="http://www.nevo.co.il/case/6199527" TargetMode="External"/><Relationship Id="rId24" Type="http://schemas.openxmlformats.org/officeDocument/2006/relationships/hyperlink" Target="http://www.nevo.co.il/case/5796341" TargetMode="External"/><Relationship Id="rId25" Type="http://schemas.openxmlformats.org/officeDocument/2006/relationships/hyperlink" Target="http://www.nevo.co.il/case/5716986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2016-05-03T11:17:00Z</dcterms:created>
  <dc:creator> </dc:creator>
  <dc:description/>
  <cp:keywords/>
  <dc:language>en-IL</dc:language>
  <cp:lastModifiedBy>hofit</cp:lastModifiedBy>
  <dcterms:modified xsi:type="dcterms:W3CDTF">2016-05-03T11:17:00Z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אברהים חסארמה (עציר)</vt:lpwstr>
  </property>
  <property fmtid="{D5CDD505-2E9C-101B-9397-08002B2CF9AE}" pid="4" name="CASENOTES1">
    <vt:lpwstr>ProcID=179&amp;PartA=7&amp;PartC=11</vt:lpwstr>
  </property>
  <property fmtid="{D5CDD505-2E9C-101B-9397-08002B2CF9AE}" pid="5" name="CASESLISTTMP1">
    <vt:lpwstr>5155052;6245051;5982047;6199527;5796341;5716986</vt:lpwstr>
  </property>
  <property fmtid="{D5CDD505-2E9C-101B-9397-08002B2CF9AE}" pid="6" name="CITY">
    <vt:lpwstr>נצ'</vt:lpwstr>
  </property>
  <property fmtid="{D5CDD505-2E9C-101B-9397-08002B2CF9AE}" pid="7" name="DATE">
    <vt:lpwstr>20110216</vt:lpwstr>
  </property>
  <property fmtid="{D5CDD505-2E9C-101B-9397-08002B2CF9AE}" pid="8" name="JUDGE">
    <vt:lpwstr>תאופיק כתילי;אשר קולה;דני צרפתי</vt:lpwstr>
  </property>
  <property fmtid="{D5CDD505-2E9C-101B-9397-08002B2CF9AE}" pid="9" name="LAWLISTTMP1">
    <vt:lpwstr>70301/348.b;345.b.1;345.a.1;348.c1;006.a.1.a;355</vt:lpwstr>
  </property>
  <property fmtid="{D5CDD505-2E9C-101B-9397-08002B2CF9AE}" pid="10" name="LAWLISTTMP2">
    <vt:lpwstr>74903/187.b</vt:lpwstr>
  </property>
  <property fmtid="{D5CDD505-2E9C-101B-9397-08002B2CF9AE}" pid="11" name="LAWYER">
    <vt:lpwstr>קנדלפת;טאמר אסעד</vt:lpwstr>
  </property>
  <property fmtid="{D5CDD505-2E9C-101B-9397-08002B2CF9AE}" pid="12" name="NEWPARTA">
    <vt:lpwstr>144</vt:lpwstr>
  </property>
  <property fmtid="{D5CDD505-2E9C-101B-9397-08002B2CF9AE}" pid="13" name="NEWPARTB">
    <vt:lpwstr/>
  </property>
  <property fmtid="{D5CDD505-2E9C-101B-9397-08002B2CF9AE}" pid="14" name="NEWPARTC">
    <vt:lpwstr>09</vt:lpwstr>
  </property>
  <property fmtid="{D5CDD505-2E9C-101B-9397-08002B2CF9AE}" pid="15" name="NEWPROC">
    <vt:lpwstr>תפח</vt:lpwstr>
  </property>
  <property fmtid="{D5CDD505-2E9C-101B-9397-08002B2CF9AE}" pid="16" name="PROCNUM">
    <vt:lpwstr>144</vt:lpwstr>
  </property>
  <property fmtid="{D5CDD505-2E9C-101B-9397-08002B2CF9AE}" pid="17" name="PROCYEAR">
    <vt:lpwstr>09</vt:lpwstr>
  </property>
  <property fmtid="{D5CDD505-2E9C-101B-9397-08002B2CF9AE}" pid="18" name="PSAKDIN">
    <vt:lpwstr>גזר-דין</vt:lpwstr>
  </property>
  <property fmtid="{D5CDD505-2E9C-101B-9397-08002B2CF9AE}" pid="19" name="RemarkFileName">
    <vt:lpwstr>mechozi me 09 144 125 htm</vt:lpwstr>
  </property>
  <property fmtid="{D5CDD505-2E9C-101B-9397-08002B2CF9AE}" pid="20" name="TYPE">
    <vt:lpwstr>2</vt:lpwstr>
  </property>
  <property fmtid="{D5CDD505-2E9C-101B-9397-08002B2CF9AE}" pid="21" name="TYPE_ABS_DATE">
    <vt:lpwstr>390020110216</vt:lpwstr>
  </property>
  <property fmtid="{D5CDD505-2E9C-101B-9397-08002B2CF9AE}" pid="22" name="TYPE_N_DATE">
    <vt:lpwstr>39020110216</vt:lpwstr>
  </property>
  <property fmtid="{D5CDD505-2E9C-101B-9397-08002B2CF9AE}" pid="23" name="WORDNUMPAGES">
    <vt:lpwstr>12</vt:lpwstr>
  </property>
</Properties>
</file>