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14480-04-12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בדראן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יוסף אלרון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נשיא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עודד גרשון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אברהם אליקים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בדראן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305034258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טאהא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טאהא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302852793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כללי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לקראת סיום פרשת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הצדדים להסדר טיעון שלפיו יחזרו בהם הנאשמים מכפירתם ויודו בעובדות 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כתב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האישום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שהנאשמים הודו בעובדות כתב האישום המתוקן הם הורשעו בעבירות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26" w:end="36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b/>
          <w:b/>
          <w:bCs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בעבירה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החוק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בעבירה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5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וכן בעבירה לפי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עבירה של הריגה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קשירת קשר לביצוע פשע ועבירות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בעבירה 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לפי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לפי </w:t>
      </w:r>
      <w:hyperlink r:id="rId2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3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2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וכן בעבירה לפי </w:t>
      </w:r>
      <w:hyperlink r:id="rId2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כלומר עבירה של סיוע להריגה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קשירת קשר לביצוע פשע ועבירות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כלל מסגרת עונשית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ולפיה יתבקש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המשפט לגזור על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תשע עשרה שנות מאסר בפועל ועל</w:t>
      </w:r>
      <w:r>
        <w:rPr>
          <w:rFonts w:ascii="Arial" w:hAnsi="Arial" w:cs="Arial"/>
          <w:b/>
          <w:b/>
          <w:bCs/>
          <w:rtl w:val="true"/>
        </w:rPr>
        <w:t xml:space="preserve"> 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אחת עשרה שנות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סוכם כי יוטל על הנאשמים עונש מאסר מותנה לשיקול דעת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26"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הודיעה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הסדר הטיעון נערך בידיעת משפחת המנוח ובהסכמתה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עובדות כתב האישום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כרקע לעובדות כתב האישום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הנאשמים הם חברים וכי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קרוב משפחה של נאסר בדראן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המנוח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17.11.2011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 במועד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הנאשמים קשר לפגוע במנוח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רקע חשדו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המנוח מצוי בקשר עם דודתו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הצהריים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עבד אל סאלם נאסר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עבד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וביקש ממנו להשיג לו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סמוך לאחר מכן מסר עבד אקדח לנאשמים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שהבחינו במנוח בסמוך לבית הקפה של עלי חוסין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הקפה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בכפר בענה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פנו לחברם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נביל מוסא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נביל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וביקשו ממנו שיסיע אותם ברכבו אל בית הקפה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משנענה נביל לבקשתם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הנאשמים לביתו כשהם מצוידים באקדח שקיבלו מעבד ובאקדח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נסעו השלושה אל עבר בית הקפה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בהגיעם לבית הקפה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17:50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ביקשו הנאשמים מנביל שיעצור את הרכב וימתין להם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ירדו מהרכב והתקדמו אל עבר בית הקפה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הם רעולי פנים והאקדחים ברשותם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התקרבו אל עבר המנוח שעבר סמוך לרכבו ליד בית הקפה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ירה לעברו מספר יריות ופגע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מסייע לו בכך שאבטח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בעודו עומד בסמוך אליו ואל המנוח כשבידו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הקליעים שירה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ארבעה במספר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פגעו במנוח וגרמו למותו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נכנסו הנאשמים לרכבו של נביל וזה האחרון מילט אותם מן 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החזירו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ונביל לעבד את האקדח אותו קיבלו הנאשמים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ובשלב מאוחר יותר קנה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אותו האקדח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ascii="Arial" w:hAnsi="Arial" w:cs="Arial"/>
          <w:b/>
          <w:b/>
          <w:bCs/>
          <w:rtl w:val="true"/>
        </w:rPr>
        <w:t xml:space="preserve">סקיר קצין מבחן לנאשם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לאור גילו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הורינו על הכנת תסקיר בעניינו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בתסקיר מיום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</w:rPr>
        <w:t>09.12.2013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סקרה קצינת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גברת מיקה אריאל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מכלול נסיבותיו האישיות והמשפחתיות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ובכלל זה את היותו כיום 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שירותו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כשנתיים וחצי בתור לוחם ביחידת גששים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שלא מחויב היה לעשות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וזוהי מעורבותו הראשונה בפלילים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לשירותו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משפחתו התנגדה לגיוסו ולאחר שעשה כן נותק הקשר עימה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ובחלק משירותו הצבאי הוכר כחייל בודד וקיבל סיוע סוציאלי מצה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בפני קצינת המבחן נטל הנאשם אחריות לביצוע העבירה והביע חרטה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ימים לפני ביצוע העבירה נודע לו כי המנוח פגע מינית בדודתו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וחש מחויבות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להציב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גבול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ברור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להתנהלותו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תוך שציין כי במעורבותו בפלילים מושא תיק זה הסב לבני משפחתו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כאב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צער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ובושה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תכנן ליטול את חיי המנוח אלא רק להרתיעו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משראה את המנוח התקשה לשלוט בדחפיו וברצונו לפגוע במנוח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פעל כמתואר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היה </w:t>
      </w:r>
      <w:r>
        <w:rPr>
          <w:rFonts w:cs="Arial" w:ascii="Arial" w:hAnsi="Arial"/>
          <w:rtl w:val="true"/>
        </w:rPr>
        <w:t>"</w:t>
      </w:r>
      <w:r>
        <w:rPr>
          <w:rFonts w:ascii="?;Times New Roman" w:hAnsi="?;Times New Roman" w:cs="Miriam"/>
          <w:rtl w:val="true"/>
        </w:rPr>
        <w:t>ממוקד</w:t>
      </w:r>
      <w:r>
        <w:rPr>
          <w:rFonts w:ascii="?;Times New Roman" w:hAnsi="?;Times New Roman" w:eastAsia="?;Times New Roman" w:cs="?;Times New Roman"/>
          <w:rtl w:val="true"/>
        </w:rPr>
        <w:t xml:space="preserve"> </w:t>
      </w:r>
      <w:r>
        <w:rPr>
          <w:rFonts w:ascii="?;Times New Roman" w:hAnsi="?;Times New Roman" w:cs="Miriam"/>
          <w:rtl w:val="true"/>
        </w:rPr>
        <w:t>בפגיעה</w:t>
      </w:r>
      <w:r>
        <w:rPr>
          <w:rFonts w:ascii="?;Times New Roman" w:hAnsi="?;Times New Roman" w:eastAsia="?;Times New Roman" w:cs="?;Times New Roman"/>
          <w:rtl w:val="true"/>
        </w:rPr>
        <w:t xml:space="preserve"> </w:t>
      </w:r>
      <w:r>
        <w:rPr>
          <w:rFonts w:ascii="?;Times New Roman" w:hAnsi="?;Times New Roman" w:cs="Miriam"/>
          <w:rtl w:val="true"/>
        </w:rPr>
        <w:t>במנוח</w:t>
      </w:r>
      <w:r>
        <w:rPr>
          <w:rFonts w:ascii="?;Times New Roman" w:hAnsi="?;Times New Roman" w:eastAsia="?;Times New Roman" w:cs="?;Times New Roman"/>
          <w:rtl w:val="true"/>
        </w:rPr>
        <w:t xml:space="preserve"> </w:t>
      </w:r>
      <w:r>
        <w:rPr>
          <w:rFonts w:ascii="?;Times New Roman" w:hAnsi="?;Times New Roman" w:cs="Miriam"/>
          <w:rtl w:val="true"/>
        </w:rPr>
        <w:t>ונזהר</w:t>
      </w:r>
      <w:r>
        <w:rPr>
          <w:rFonts w:ascii="?;Times New Roman" w:hAnsi="?;Times New Roman" w:eastAsia="?;Times New Roman" w:cs="?;Times New Roman"/>
          <w:rtl w:val="true"/>
        </w:rPr>
        <w:t xml:space="preserve"> </w:t>
      </w:r>
      <w:r>
        <w:rPr>
          <w:rFonts w:ascii="?;Times New Roman" w:hAnsi="?;Times New Roman" w:cs="Miriam"/>
          <w:rtl w:val="true"/>
        </w:rPr>
        <w:t>שלא</w:t>
      </w:r>
      <w:r>
        <w:rPr>
          <w:rFonts w:ascii="?;Times New Roman" w:hAnsi="?;Times New Roman" w:eastAsia="?;Times New Roman" w:cs="?;Times New Roman"/>
          <w:rtl w:val="true"/>
        </w:rPr>
        <w:t xml:space="preserve"> </w:t>
      </w:r>
      <w:r>
        <w:rPr>
          <w:rFonts w:ascii="?;Times New Roman" w:hAnsi="?;Times New Roman" w:cs="Miriam"/>
          <w:rtl w:val="true"/>
        </w:rPr>
        <w:t>לפגוע</w:t>
      </w:r>
      <w:r>
        <w:rPr>
          <w:rFonts w:ascii="?;Times New Roman" w:hAnsi="?;Times New Roman" w:eastAsia="?;Times New Roman" w:cs="?;Times New Roman"/>
          <w:rtl w:val="true"/>
        </w:rPr>
        <w:t xml:space="preserve"> </w:t>
      </w:r>
      <w:r>
        <w:rPr>
          <w:rFonts w:ascii="?;Times New Roman" w:hAnsi="?;Times New Roman" w:cs="Miriam"/>
          <w:rtl w:val="true"/>
        </w:rPr>
        <w:t>באנשים</w:t>
      </w:r>
      <w:r>
        <w:rPr>
          <w:rFonts w:ascii="?;Times New Roman" w:hAnsi="?;Times New Roman" w:eastAsia="?;Times New Roman" w:cs="?;Times New Roman"/>
          <w:rtl w:val="true"/>
        </w:rPr>
        <w:t xml:space="preserve"> </w:t>
      </w:r>
      <w:r>
        <w:rPr>
          <w:rFonts w:ascii="?;Times New Roman" w:hAnsi="?;Times New Roman" w:cs="Miriam"/>
          <w:rtl w:val="true"/>
        </w:rPr>
        <w:t>שהיו</w:t>
      </w:r>
      <w:r>
        <w:rPr>
          <w:rFonts w:ascii="?;Times New Roman" w:hAnsi="?;Times New Roman" w:eastAsia="?;Times New Roman" w:cs="?;Times New Roman"/>
          <w:rtl w:val="true"/>
        </w:rPr>
        <w:t xml:space="preserve"> </w:t>
      </w:r>
      <w:r>
        <w:rPr>
          <w:rFonts w:ascii="?;Times New Roman" w:hAnsi="?;Times New Roman" w:cs="Miriam"/>
          <w:rtl w:val="true"/>
        </w:rPr>
        <w:t>בסביבתו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תיאר עצמו כאדם שאינו אלים והוסיף שהוא אוהב ומוערך על ידי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חבריו ובני כפרו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וטען כי אינו זקוק לטעמו לטיפול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בתחום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האלימות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ציינה בהתייחס לעבירה שביצע נאשם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ניכר שפעל באופן אימפולסיבי בלא הפעלת שיקול 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חוויות השפלה וכעס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נטל אחריות לעבירה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להתרשמותה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כי הוא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ממוקד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בעצמו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ובמחירים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שגרם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משפחתו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וכן כי הוא מתקשה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לגלות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אמפטיה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והבנה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לפגיעתו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במשפחת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המנוח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ולמשמעות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מעשיו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חייהם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אינו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מחובר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לחלקים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התוקפניים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והפוגעניים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שבאישיותו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ולמידת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נזקקותו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לטיפול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בתחום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המליצה קצינת המבחן למבוגרים לאמץ את הסדר הטיעון שגובש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לשקול שילובו בהליך טיפולי 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יבחן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המניעים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שהובילו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לביצוע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וירכוש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אדפטיביים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להתמודדויותיו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בעתיד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טיעונים לעונש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360"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בפתח 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לכבד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שהפנה תחילה לעובדה כי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נחשף למרבית פרשת ראיות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ומשכך נחשף לקשיים הראייתיים המהווים בסופו של דבר את הרקע להגעה להסדר טיעון ולשינוי שבוצע בכתב האישום המקורי ולעבירות שבהן הורשעו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לשיטת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העונשים עליהם הסכימו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נמצאים ברף העליון של העבירות המיוחסות לנאשמים ותואמים את הענישה שבפסיקה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חומרת המעשים ואת הסלידה מפתרון סכסוכים באמצעות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לאמור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את עובדת העדר עבר פלילי לנאשמים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ביקש לפסוק פיצוי כספי לעיזבון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ציין כי רכיב הפיצוי לא היה חלק מההסדר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טען כי יש מקום לפצות את אם המנוח בסכום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והוסיף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נבקש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סכום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גבוה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מאחר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ובסופו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הגענו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להסדר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פיצוי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 כח הנאשמים טענו כל אשר יכלו לזכות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הצטרף לעמדת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לאמץ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בציינו כי הסדר הטיעון הושג לאחר משא ומתן ארוך וממושך ולאחר שהמאשימה בחנה את מכלול ההיבטים המצדיקים את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 את הבעייתיות בתשתית הראייתית שהונחה לפתחו של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לאמור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 לנטילת האחריות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ידי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ולכך שבסיכומו של דבר הומלץ על קבלת הסדר הטיעון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הסדר הטיעון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שותק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מבחינת רכיב הפיצוי הכספי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לשיטתו הטלת פיצוי משמעותה חריגה מהסדר הטיעון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Miriam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בחייל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עומד בפני תקופת מאסר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ולפיכך בנסיבות אלו אם יוטל 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משפחתו היא שתישא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תוחמץ למעשה מטרת הפיצוי ולחילופין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כי היה ובית המשפט יחליט להטיל 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שיהא זה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פיצוי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מינימאלי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אף היא לאמץ את הסדר הטיעון תוך שציינה את השינויים המשמעותיים שנעשו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ניהול המשפט עד לשלב ההגעה להסדר היה חיוני מאוד לצורך ההגעה להסדר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נחסך זמן שיפוטי יקר שכן פרשת ההגנה טרם החלה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למרשה טענה כי הלה בחור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נטל אחריות מלאה על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לרכיב הפיצוי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הצטרפה באת כח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לעמדת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והוסיפה כי משפחתו מצויה בהליכי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עם משפחת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משוכנעת שהם יגיעו להסכם בעניין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תדפיסי מצב חשבון בנק של אחיו ואביו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וטענה כי מצבה הכלכלי של המשפחה קשה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לאמץ את הסדר הטיעון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בפנותם לבית המשפט הביעו חרטה ונטלו אחריות מלאה על מעשיהם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אשר ציין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מביע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חרטה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ולוקח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אחריות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דבר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66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מודה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שעשיתי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ולוקח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אחריות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דבר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360"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360"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360"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דיון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בטרם הגעת הצדדים להסדר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הונחו בפנינו מרבית ראיות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ומשכך נחשפנו למכלול הקשיים הראייתים אשר בבסיס ההגעה להסדר הטיעון שבמסגרתו תוקן כתב האישום ושונו הוראות החיקוק בהתאם לכך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סבורים כי נכון עשה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בהגיעו להסדר ובהגשת 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הסדר טיעון שכלל גם הסכמה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קיומו של הסדר הטיעון ועל אף שיש להביאו בחשבון ולהעניק לו משקל רב בעת גזירת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חייב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לבחון את כלל השיקולים הרלוונטיים לעונש ואל לו לקבל את הסדר הטיעון מבלי לבוחנו היטב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ראויים לאזכור בהקשר זה דבריה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ביניש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1958/98</w:t>
        </w:r>
      </w:hyperlink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right" w:pos="70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046" w:leader="none"/>
        </w:tabs>
        <w:ind w:start="567" w:end="902"/>
        <w:jc w:val="both"/>
        <w:rPr/>
      </w:pPr>
      <w:r>
        <w:rPr>
          <w:rFonts w:cs="Miriam" w:ascii="Arial" w:hAnsi="Arial"/>
          <w:rtl w:val="true"/>
        </w:rPr>
        <w:t>"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וישקיף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שערכה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Quote"/>
        <w:spacing w:lineRule="auto" w:line="360"/>
        <w:ind w:start="0" w:end="454"/>
        <w:jc w:val="both"/>
        <w:rPr>
          <w:rFonts w:cs="David"/>
          <w:sz w:val="24"/>
        </w:rPr>
      </w:pPr>
      <w:r>
        <w:rPr>
          <w:rFonts w:cs="David"/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האישום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1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חשדו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האחרון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דודתו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2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בכך</w:t>
      </w:r>
      <w:r>
        <w:rPr>
          <w:rFonts w:cs="David"/>
          <w:sz w:val="24"/>
          <w:rtl w:val="true"/>
        </w:rPr>
        <w:t>.</w:t>
      </w:r>
    </w:p>
    <w:p>
      <w:pPr>
        <w:pStyle w:val="Quote"/>
        <w:spacing w:lineRule="auto" w:line="360"/>
        <w:ind w:start="0" w:end="454"/>
        <w:jc w:val="both"/>
        <w:rPr>
          <w:rFonts w:cs="David"/>
          <w:sz w:val="24"/>
        </w:rPr>
      </w:pPr>
      <w:r>
        <w:rPr>
          <w:rFonts w:cs="David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שבמהלכם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קופדו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אחת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הדגשת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קדושת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עליון</w:t>
      </w:r>
      <w:r>
        <w:rPr>
          <w:rFonts w:cs="David"/>
          <w:sz w:val="24"/>
          <w:rtl w:val="true"/>
        </w:rPr>
        <w:t xml:space="preserve">.  </w:t>
      </w:r>
    </w:p>
    <w:p>
      <w:pPr>
        <w:pStyle w:val="Quote"/>
        <w:spacing w:lineRule="auto" w:line="360"/>
        <w:ind w:start="0" w:end="454"/>
        <w:jc w:val="both"/>
        <w:rPr>
          <w:rFonts w:cs="David"/>
          <w:sz w:val="24"/>
        </w:rPr>
      </w:pPr>
      <w:r>
        <w:rPr>
          <w:rFonts w:cs="David"/>
          <w:sz w:val="24"/>
          <w:sz w:val="24"/>
          <w:rtl w:val="true"/>
        </w:rPr>
        <w:t>למרבה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הצער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רבו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נסבלת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פתרון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סכסוכים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נקמנות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לשמן</w:t>
      </w:r>
      <w:r>
        <w:rPr>
          <w:rFonts w:cs="David"/>
          <w:sz w:val="24"/>
          <w:rtl w:val="true"/>
        </w:rPr>
        <w:t>.</w:t>
      </w:r>
    </w:p>
    <w:p>
      <w:pPr>
        <w:pStyle w:val="Quote"/>
        <w:spacing w:lineRule="auto" w:line="360"/>
        <w:ind w:start="0" w:end="454"/>
        <w:jc w:val="both"/>
        <w:rPr>
          <w:rFonts w:cs="David"/>
          <w:sz w:val="24"/>
        </w:rPr>
      </w:pPr>
      <w:r>
        <w:rPr>
          <w:rFonts w:cs="David"/>
          <w:sz w:val="24"/>
          <w:sz w:val="24"/>
          <w:rtl w:val="true"/>
        </w:rPr>
        <w:t>חומרתן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הנאשמים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שעניינן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קיפוח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אדם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דורשת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תמצא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ביטוייה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במפורש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סלידתה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העמוקה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מנטילת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אחר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הרתעתי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העלולים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להתפתות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נסבלים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כאלה</w:t>
      </w:r>
      <w:r>
        <w:rPr>
          <w:rFonts w:cs="David"/>
          <w:sz w:val="24"/>
          <w:rtl w:val="true"/>
        </w:rPr>
        <w:t xml:space="preserve">. </w:t>
      </w:r>
    </w:p>
    <w:p>
      <w:pPr>
        <w:pStyle w:val="Quote"/>
        <w:spacing w:lineRule="auto" w:line="360"/>
        <w:ind w:start="0" w:end="454"/>
        <w:jc w:val="both"/>
        <w:rPr>
          <w:rFonts w:cs="David"/>
        </w:rPr>
      </w:pPr>
      <w:r>
        <w:rPr>
          <w:rFonts w:cs="David"/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דבריה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כב</w:t>
      </w:r>
      <w:r>
        <w:rPr>
          <w:rFonts w:cs="David"/>
          <w:sz w:val="24"/>
          <w:rtl w:val="true"/>
        </w:rPr>
        <w:t xml:space="preserve">' </w:t>
      </w:r>
      <w:r>
        <w:rPr>
          <w:rFonts w:cs="David"/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שטרסבורג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27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7147/96</w:t>
        </w:r>
      </w:hyperlink>
      <w:r>
        <w:rPr>
          <w:rFonts w:cs="David"/>
          <w:rtl w:val="true"/>
        </w:rPr>
        <w:t xml:space="preserve">: </w:t>
      </w:r>
    </w:p>
    <w:p>
      <w:pPr>
        <w:pStyle w:val="Quote"/>
        <w:spacing w:lineRule="auto" w:line="240"/>
        <w:ind w:start="566" w:end="1260"/>
        <w:jc w:val="both"/>
        <w:rPr>
          <w:rFonts w:cs="Miriam"/>
          <w:sz w:val="24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[...]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ושאט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נכונותה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בסלחנות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לחסל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חשבונותיו</w:t>
      </w:r>
      <w:r>
        <w:rPr>
          <w:rFonts w:cs="Miriam"/>
          <w:rtl w:val="true"/>
        </w:rPr>
        <w:t>'</w:t>
      </w:r>
      <w:r>
        <w:rPr>
          <w:rFonts w:cs="Miriam"/>
          <w:sz w:val="24"/>
          <w:rtl w:val="true"/>
        </w:rPr>
        <w:t xml:space="preserve">" </w:t>
      </w:r>
      <w:r>
        <w:rPr>
          <w:rFonts w:cs="David"/>
          <w:sz w:val="24"/>
          <w:rtl w:val="true"/>
        </w:rPr>
        <w:t>(</w:t>
      </w:r>
      <w:r>
        <w:rPr>
          <w:rFonts w:cs="David"/>
          <w:b/>
          <w:b/>
          <w:bCs/>
          <w:rtl w:val="true"/>
        </w:rPr>
        <w:t>אזואלוס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נב</w:t>
      </w:r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412</w:t>
      </w:r>
      <w:r>
        <w:rPr>
          <w:rFonts w:cs="David"/>
          <w:rtl w:val="true"/>
        </w:rPr>
        <w:t>).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לנאשמים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נעלמו מעיננו מכלול השיקולים לקולא בעניינם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 הודאתם והבעת החרטה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עריכת הסדר טיעון זה על דעת משפחת המנוח והסכמתה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להוסיף על כך את העובדה כי נחשפנו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שמיעת הראיות לחלק נכבד מראיות המאשימה ולקשיים הראייתיים שהוו את הרקע להסדר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 המרת עבירת הרצח לעבירות של הריגה ולסיוע להריגה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העניין אנו סבורים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ההסדר שהונח 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 מסגרת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תואם את העקרונות המנחים שהונחו ב</w:t>
      </w:r>
      <w:r>
        <w:rPr>
          <w:rFonts w:ascii="Arial" w:hAnsi="Arial" w:cs="Arial"/>
          <w:b/>
          <w:b/>
          <w:bCs/>
          <w:rtl w:val="true"/>
        </w:rPr>
        <w:t>פרשת פלוני</w:t>
      </w:r>
      <w:r>
        <w:rPr>
          <w:rFonts w:ascii="Arial" w:hAnsi="Arial" w:cs="Arial"/>
          <w:rtl w:val="true"/>
        </w:rPr>
        <w:t xml:space="preserve"> באשר לכיבודם של הסדרי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מאזן כראוי בין מכלול השיקולים לחומרה ובין מכלול השיקולים לקולא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ששקלנו את מכלול השיקולים הרלוונטיים כפי שפורטו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גוזרים על הנאשמים את העונשים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על 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360"/>
        <w:jc w:val="both"/>
        <w:rPr>
          <w:rFonts w:ascii="Arial" w:hAnsi="Arial" w:cs="Arial"/>
        </w:rPr>
      </w:pPr>
      <w:r>
        <w:rPr>
          <w:rFonts w:cs="Arial" w:ascii="Arial" w:hAnsi="Arial"/>
          <w:u w:val="single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7946" w:leader="none"/>
        </w:tabs>
        <w:spacing w:lineRule="auto" w:line="360"/>
        <w:ind w:hanging="360" w:start="720" w:end="360"/>
        <w:jc w:val="both"/>
        <w:rPr>
          <w:rFonts w:ascii="Arial" w:hAnsi="Arial" w:cs="Arial"/>
        </w:rPr>
      </w:pPr>
      <w:r>
        <w:rPr>
          <w:rFonts w:cs="Arial" w:ascii="Arial" w:hAnsi="Arial"/>
          <w:u w:val="single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לבל יעבור עבירה של אלימות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ind w:start="360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ind w:start="360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ind w:start="360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ind w:start="360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ind w:start="360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ind w:start="360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על 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360"/>
        <w:jc w:val="both"/>
        <w:rPr>
          <w:rFonts w:ascii="Arial" w:hAnsi="Arial" w:cs="Arial"/>
        </w:rPr>
      </w:pPr>
      <w:r>
        <w:rPr>
          <w:rFonts w:cs="Arial" w:ascii="Arial" w:hAnsi="Arial"/>
          <w:u w:val="single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360"/>
        <w:jc w:val="both"/>
        <w:rPr>
          <w:rFonts w:ascii="Arial" w:hAnsi="Arial" w:cs="Arial"/>
        </w:rPr>
      </w:pPr>
      <w:r>
        <w:rPr>
          <w:rFonts w:cs="Arial" w:ascii="Arial" w:hAnsi="Arial"/>
          <w:u w:val="single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לבל יעבור עבירה של אלימות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360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>לצורך מניין תקופות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תימנה תקופת שהותו של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במעצר </w:t>
      </w:r>
      <w:r>
        <w:rPr>
          <w:rFonts w:ascii="Arial" w:hAnsi="Arial" w:cs="Arial"/>
          <w:u w:val="single"/>
          <w:rtl w:val="true"/>
        </w:rPr>
        <w:t xml:space="preserve">מיום </w:t>
      </w:r>
      <w:r>
        <w:rPr>
          <w:rFonts w:cs="Arial" w:ascii="Arial" w:hAnsi="Arial"/>
          <w:u w:val="single"/>
        </w:rPr>
        <w:t>15.03.2012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ותקופת שהייתו של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במעצר </w:t>
      </w:r>
      <w:r>
        <w:rPr>
          <w:rFonts w:ascii="Arial" w:hAnsi="Arial" w:cs="Arial"/>
          <w:u w:val="single"/>
          <w:rtl w:val="true"/>
        </w:rPr>
        <w:t xml:space="preserve">מיום </w:t>
      </w:r>
      <w:r>
        <w:rPr>
          <w:rFonts w:cs="Arial" w:ascii="Arial" w:hAnsi="Arial"/>
          <w:u w:val="single"/>
        </w:rPr>
        <w:t>20.03.2012</w:t>
      </w:r>
      <w:r>
        <w:rPr>
          <w:rFonts w:cs="Arial" w:ascii="Arial" w:hAnsi="Arial"/>
          <w:u w:val="single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לפיצוי הכספי לעיזבון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איננו מקבלים את עמדת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יחד עם זאת סברנו כי בנסיבות העניין  יהא זה נכון להימנע מפיצוי כספי מינימאלי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שנתבקשנו ולהותיר זאת להליך אזרחי או לכל הליך אחר בין משפחת הקרבן לנאשמים – אשר יתן ביטוי הולם יותר לפיצוי כספי נכון וראוי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אנו מפנים את תשומת לב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לאמור בתסקיר שירות המבחן בעניינו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בדבר שקילת אפשרות שילובו בהליך טיפולי ממושך במסגרתו יבחנו המניעים שהובילו אותו לביצוע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ind w:end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גרשון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אליקים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Header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Header"/>
        <w:ind w:end="0"/>
        <w:jc w:val="start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אתי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עטיאס</w:t>
      </w:r>
      <w:bookmarkStart w:id="10" w:name="_GoBack"/>
      <w:bookmarkEnd w:id="10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?">
    <w:altName w:val="Times New Roman"/>
    <w:charset w:val="00" w:characterSet="windows-1252"/>
    <w:family w:val="roman"/>
    <w:pitch w:val="default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14480-04-12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אמיר בדראן </w:t>
    </w:r>
    <w:r>
      <w:rPr>
        <w:rFonts w:cs="David" w:ascii="David" w:hAnsi="David"/>
        <w:color w:val="000000"/>
        <w:sz w:val="22"/>
        <w:szCs w:val="22"/>
        <w:rtl w:val="true"/>
      </w:rPr>
      <w:t>(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szCs w:val="24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QuoteChar">
    <w:name w:val="Quote Char"/>
    <w:qFormat/>
    <w:rPr>
      <w:rFonts w:cs="FrankRuehl"/>
      <w:szCs w:val="24"/>
      <w:lang w:val="en-US" w:bidi="he-IL"/>
    </w:rPr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e">
    <w:name w:val="Quote"/>
    <w:basedOn w:val="Normal"/>
    <w:qFormat/>
    <w:pPr>
      <w:overflowPunct w:val="false"/>
      <w:autoSpaceDE w:val="false"/>
      <w:spacing w:lineRule="exact" w:line="270" w:before="0" w:after="220"/>
      <w:ind w:hanging="0" w:start="454" w:end="454"/>
      <w:jc w:val="both"/>
      <w:textAlignment w:val="baseline"/>
    </w:pPr>
    <w:rPr>
      <w:rFonts w:cs="FrankRuehl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298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case/161892" TargetMode="External"/><Relationship Id="rId27" Type="http://schemas.openxmlformats.org/officeDocument/2006/relationships/hyperlink" Target="http://www.nevo.co.il/case/5891863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2016-01-24T15:27:00Z</dcterms:created>
  <dc:creator> </dc:creator>
  <dc:description/>
  <cp:keywords/>
  <dc:language>en-IL</dc:language>
  <cp:lastModifiedBy>yafit</cp:lastModifiedBy>
  <dcterms:modified xsi:type="dcterms:W3CDTF">2016-01-24T15:27:00Z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בדראן ;טאהא טאהא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161892;5891863</vt:lpwstr>
  </property>
  <property fmtid="{D5CDD505-2E9C-101B-9397-08002B2CF9AE}" pid="9" name="CITY">
    <vt:lpwstr>חי'</vt:lpwstr>
  </property>
  <property fmtid="{D5CDD505-2E9C-101B-9397-08002B2CF9AE}" pid="10" name="DATE">
    <vt:lpwstr>20131218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אלרון;עודד גרשון;אברהם אליקים</vt:lpwstr>
  </property>
  <property fmtid="{D5CDD505-2E9C-101B-9397-08002B2CF9AE}" pid="14" name="LAWLISTTMP1">
    <vt:lpwstr>70301/298:2;029:5;499.a.1:2;144.a:4;144.b:2;031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14480</vt:lpwstr>
  </property>
  <property fmtid="{D5CDD505-2E9C-101B-9397-08002B2CF9AE}" pid="22" name="NEWPARTB">
    <vt:lpwstr>04</vt:lpwstr>
  </property>
  <property fmtid="{D5CDD505-2E9C-101B-9397-08002B2CF9AE}" pid="23" name="NEWPARTC">
    <vt:lpwstr>12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390020131218</vt:lpwstr>
  </property>
  <property fmtid="{D5CDD505-2E9C-101B-9397-08002B2CF9AE}" pid="34" name="TYPE_N_DATE">
    <vt:lpwstr>39020131218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