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149-09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צפון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אוחיון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 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 – תאופיק 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          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 אשר קולה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Cs/>
                <w:rtl w:val="true"/>
              </w:rPr>
              <w:t xml:space="preserve">          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 דני צרפתי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 xml:space="preserve">יהודה אוחיון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אור לרנר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יובל זמר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 xml:space="preserve">הובא </w:t>
      </w:r>
      <w:r>
        <w:rPr>
          <w:b w:val="false"/>
          <w:bCs w:val="false"/>
          <w:u w:val="none"/>
          <w:rtl w:val="true"/>
        </w:rPr>
        <w:t>[</w:t>
      </w:r>
      <w:r>
        <w:rPr>
          <w:b w:val="false"/>
          <w:b w:val="false"/>
          <w:bCs w:val="false"/>
          <w:u w:val="none"/>
          <w:rtl w:val="true"/>
        </w:rPr>
        <w:t>באמצעות הליוו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244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245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329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י</w:t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/>
      </w:pPr>
      <w:r>
        <w:rPr>
          <w:b w:val="false"/>
          <w:bCs w:val="false"/>
          <w:u w:val="none"/>
          <w:rtl w:val="true"/>
        </w:rPr>
        <w:t>]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כתב האישום המתוקן והרקע לו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 הורשע על פי הודאתו ובעקבות הסדר טיעון</w:t>
      </w:r>
      <w:r>
        <w:rPr>
          <w:rtl w:val="true"/>
        </w:rPr>
        <w:t xml:space="preserve">, </w:t>
      </w:r>
      <w:r>
        <w:rPr>
          <w:rtl w:val="true"/>
        </w:rPr>
        <w:t>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אשר ייחסו לו עבירות של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חבלה בכוונה  מחמירה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עבירות בנשק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סעיף </w:t>
      </w:r>
      <w:hyperlink r:id="rId1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הדחה בחקירה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שיבוש מהלכי משפט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כעולה מעובדות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הרי שבסמוך לתאריך </w:t>
      </w:r>
      <w:r>
        <w:rPr/>
        <w:t>6.6.01</w:t>
      </w:r>
      <w:r>
        <w:rPr>
          <w:rtl w:val="true"/>
        </w:rPr>
        <w:t xml:space="preserve">(!) </w:t>
      </w:r>
      <w:r>
        <w:rPr>
          <w:rtl w:val="true"/>
        </w:rPr>
        <w:t xml:space="preserve">החליט הנאשם לירות באחד בשם אבי גליקרוב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גליקרוב</w:t>
      </w:r>
      <w:r>
        <w:rPr>
          <w:rtl w:val="true"/>
        </w:rPr>
        <w:t xml:space="preserve">") </w:t>
      </w:r>
      <w:r>
        <w:rPr>
          <w:rtl w:val="true"/>
        </w:rPr>
        <w:t>וזאת על רקע של סכסוך קודם שהיה קיים בין הנאשם לבין אחיינו שלומי אוחיון</w:t>
      </w:r>
      <w:r>
        <w:rPr>
          <w:rtl w:val="true"/>
        </w:rPr>
        <w:t xml:space="preserve">. </w:t>
      </w:r>
      <w:r>
        <w:rPr>
          <w:rtl w:val="true"/>
        </w:rPr>
        <w:t>בסכסוך זה עמד גליקרוב לצדו של שלומי אוחיון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הנאשם הצטייד מראש באקדח חצי אוטומטי מסוג </w:t>
      </w:r>
      <w:r>
        <w:rPr>
          <w:rtl w:val="true"/>
        </w:rPr>
        <w:t>"</w:t>
      </w:r>
      <w:r>
        <w:rPr>
          <w:rtl w:val="true"/>
        </w:rPr>
        <w:t>קולט בראונינג פטנט</w:t>
      </w:r>
      <w:r>
        <w:rPr>
          <w:rtl w:val="true"/>
        </w:rPr>
        <w:t xml:space="preserve">" </w:t>
      </w:r>
      <w:r>
        <w:rPr>
          <w:rtl w:val="true"/>
        </w:rPr>
        <w:t xml:space="preserve">ובתחמושת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ארב לגליקרוב בסמוך לבית הנאשם בעיר טבריה</w:t>
      </w:r>
      <w:r>
        <w:rPr>
          <w:rtl w:val="true"/>
        </w:rPr>
        <w:t xml:space="preserve">, </w:t>
      </w:r>
      <w:r>
        <w:rPr>
          <w:rtl w:val="true"/>
        </w:rPr>
        <w:t xml:space="preserve">וירה לעברו באמצעות האקדח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מהן פגעו מספר קליעים בחזהו</w:t>
      </w:r>
      <w:r>
        <w:rPr>
          <w:rtl w:val="true"/>
        </w:rPr>
        <w:t xml:space="preserve">, </w:t>
      </w:r>
      <w:r>
        <w:rPr>
          <w:rtl w:val="true"/>
        </w:rPr>
        <w:t xml:space="preserve">בגבו ובזרועו הימנית של גליקרוב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אירוע הירי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 מהיריות נפגע גליקרוב קשה</w:t>
      </w:r>
      <w:r>
        <w:rPr>
          <w:rtl w:val="true"/>
        </w:rPr>
        <w:t xml:space="preserve">, </w:t>
      </w:r>
      <w:r>
        <w:rPr>
          <w:rtl w:val="true"/>
        </w:rPr>
        <w:t xml:space="preserve">פונה תחילה לבית החולים </w:t>
      </w:r>
      <w:r>
        <w:rPr>
          <w:rtl w:val="true"/>
        </w:rPr>
        <w:t>"</w:t>
      </w:r>
      <w:r>
        <w:rPr>
          <w:rtl w:val="true"/>
        </w:rPr>
        <w:t>פוריה</w:t>
      </w:r>
      <w:r>
        <w:rPr>
          <w:rtl w:val="true"/>
        </w:rPr>
        <w:t xml:space="preserve">" </w:t>
      </w:r>
      <w:r>
        <w:rPr>
          <w:rtl w:val="true"/>
        </w:rPr>
        <w:t>הסמוך לטבריה ומשם הובהל באמצעות מסוק לבית החולים רמב</w:t>
      </w:r>
      <w:r>
        <w:rPr>
          <w:rtl w:val="true"/>
        </w:rPr>
        <w:t>"</w:t>
      </w:r>
      <w:r>
        <w:rPr>
          <w:rtl w:val="true"/>
        </w:rPr>
        <w:t>ם בחיפה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לגליקרוב נגרמו חבלות חמורות</w:t>
      </w:r>
      <w:r>
        <w:rPr>
          <w:rtl w:val="true"/>
        </w:rPr>
        <w:t xml:space="preserve">, </w:t>
      </w:r>
      <w:r>
        <w:rPr>
          <w:rtl w:val="true"/>
        </w:rPr>
        <w:t>לרבות קרע בכבד</w:t>
      </w:r>
      <w:r>
        <w:rPr>
          <w:rtl w:val="true"/>
        </w:rPr>
        <w:t xml:space="preserve">, </w:t>
      </w:r>
      <w:r>
        <w:rPr>
          <w:rtl w:val="true"/>
        </w:rPr>
        <w:t>קרע בטחול ועוד</w:t>
      </w:r>
      <w:r>
        <w:rPr>
          <w:rtl w:val="true"/>
        </w:rPr>
        <w:t xml:space="preserve">. </w:t>
      </w:r>
      <w:r>
        <w:rPr>
          <w:rtl w:val="true"/>
        </w:rPr>
        <w:t>עקב פגיעות אלו היה גליקרוב מאושפז בבית החולים רמב</w:t>
      </w:r>
      <w:r>
        <w:rPr>
          <w:rtl w:val="true"/>
        </w:rPr>
        <w:t>"</w:t>
      </w:r>
      <w:r>
        <w:rPr>
          <w:rtl w:val="true"/>
        </w:rPr>
        <w:t xml:space="preserve">ם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לאחר אירוע הירי הגיע הנאשם לקזינו הנמצא בטבריה אשר בו עבד מעת לעת וביקש ממנהל הקזינו</w:t>
      </w:r>
      <w:r>
        <w:rPr>
          <w:rtl w:val="true"/>
        </w:rPr>
        <w:t xml:space="preserve">, </w:t>
      </w:r>
      <w:r>
        <w:rPr>
          <w:rtl w:val="true"/>
        </w:rPr>
        <w:t>כמו גם מעובדי הקזינו</w:t>
      </w:r>
      <w:r>
        <w:rPr>
          <w:rtl w:val="true"/>
        </w:rPr>
        <w:t xml:space="preserve">, </w:t>
      </w:r>
      <w:r>
        <w:rPr>
          <w:rtl w:val="true"/>
        </w:rPr>
        <w:t>שיעידו</w:t>
      </w:r>
      <w:r>
        <w:rPr>
          <w:rtl w:val="true"/>
        </w:rPr>
        <w:t xml:space="preserve">, </w:t>
      </w:r>
      <w:r>
        <w:rPr>
          <w:rtl w:val="true"/>
        </w:rPr>
        <w:t>אם ישאלו</w:t>
      </w:r>
      <w:r>
        <w:rPr>
          <w:rtl w:val="true"/>
        </w:rPr>
        <w:t xml:space="preserve">, </w:t>
      </w:r>
      <w:r>
        <w:rPr>
          <w:rtl w:val="true"/>
        </w:rPr>
        <w:t>כי שהה בערב יום המקרה</w:t>
      </w:r>
      <w:r>
        <w:rPr>
          <w:rtl w:val="true"/>
        </w:rPr>
        <w:t xml:space="preserve">, </w:t>
      </w:r>
      <w:r>
        <w:rPr>
          <w:rtl w:val="true"/>
        </w:rPr>
        <w:t>בקזינו בטבריה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 חקירתו אודות האירוע</w:t>
      </w:r>
      <w:r>
        <w:rPr>
          <w:rtl w:val="true"/>
        </w:rPr>
        <w:t xml:space="preserve">, </w:t>
      </w:r>
      <w:r>
        <w:rPr>
          <w:rtl w:val="true"/>
        </w:rPr>
        <w:t>טען אכן</w:t>
      </w:r>
      <w:r>
        <w:rPr>
          <w:rtl w:val="true"/>
        </w:rPr>
        <w:t xml:space="preserve">, </w:t>
      </w:r>
      <w:r>
        <w:rPr>
          <w:rtl w:val="true"/>
        </w:rPr>
        <w:t>הנאשם ל</w:t>
      </w:r>
      <w:r>
        <w:rPr>
          <w:rtl w:val="true"/>
        </w:rPr>
        <w:t>"</w:t>
      </w:r>
      <w:r>
        <w:rPr>
          <w:rtl w:val="true"/>
        </w:rPr>
        <w:t>אליבי</w:t>
      </w:r>
      <w:r>
        <w:rPr>
          <w:rtl w:val="true"/>
        </w:rPr>
        <w:t xml:space="preserve">"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בעת האירוע שהה במקום עבודתו בקזינו</w:t>
      </w:r>
      <w:r>
        <w:rPr>
          <w:rtl w:val="true"/>
        </w:rPr>
        <w:t xml:space="preserve">. </w:t>
      </w:r>
      <w:r>
        <w:rPr>
          <w:rtl w:val="true"/>
        </w:rPr>
        <w:t>עובדי הקזינו</w:t>
      </w:r>
      <w:r>
        <w:rPr>
          <w:rtl w:val="true"/>
        </w:rPr>
        <w:t xml:space="preserve">, </w:t>
      </w:r>
      <w:r>
        <w:rPr>
          <w:rtl w:val="true"/>
        </w:rPr>
        <w:t>אישרו אף הם</w:t>
      </w:r>
      <w:r>
        <w:rPr>
          <w:rtl w:val="true"/>
        </w:rPr>
        <w:t xml:space="preserve">, </w:t>
      </w:r>
      <w:r>
        <w:rPr>
          <w:rtl w:val="true"/>
        </w:rPr>
        <w:t>בחקירתם את טענת ה</w:t>
      </w:r>
      <w:r>
        <w:rPr>
          <w:rtl w:val="true"/>
        </w:rPr>
        <w:t>"</w:t>
      </w:r>
      <w:r>
        <w:rPr>
          <w:rtl w:val="true"/>
        </w:rPr>
        <w:t>אליבי</w:t>
      </w:r>
      <w:r>
        <w:rPr>
          <w:rtl w:val="true"/>
        </w:rPr>
        <w:t xml:space="preserve">" </w:t>
      </w:r>
      <w:r>
        <w:rPr>
          <w:rtl w:val="true"/>
        </w:rPr>
        <w:t>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להשלמת התמונה יצוין וכפי שעוד יובהר להלן</w:t>
      </w:r>
      <w:r>
        <w:rPr>
          <w:rtl w:val="true"/>
        </w:rPr>
        <w:t xml:space="preserve">, </w:t>
      </w:r>
      <w:r>
        <w:rPr>
          <w:rtl w:val="true"/>
        </w:rPr>
        <w:t>כי כתב האישום המקורי בתיק זה</w:t>
      </w:r>
      <w:r>
        <w:rPr>
          <w:rtl w:val="true"/>
        </w:rPr>
        <w:t xml:space="preserve">, </w:t>
      </w:r>
      <w:r>
        <w:rPr>
          <w:rtl w:val="true"/>
        </w:rPr>
        <w:t xml:space="preserve">הוגש ביום </w:t>
      </w:r>
      <w:r>
        <w:rPr/>
        <w:t>13.10.09</w:t>
      </w:r>
      <w:r>
        <w:rPr>
          <w:rtl w:val="true"/>
        </w:rPr>
        <w:t xml:space="preserve">,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תוקן כתב האישום מספר פעמים</w:t>
      </w:r>
      <w:r>
        <w:rPr>
          <w:rtl w:val="true"/>
        </w:rPr>
        <w:t xml:space="preserve">, </w:t>
      </w:r>
      <w:r>
        <w:rPr>
          <w:rtl w:val="true"/>
        </w:rPr>
        <w:t>עד שסופו של יום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13.3.11</w:t>
      </w:r>
      <w:r>
        <w:rPr>
          <w:rtl w:val="true"/>
        </w:rPr>
        <w:t xml:space="preserve"> </w:t>
      </w:r>
      <w:r>
        <w:rPr>
          <w:rtl w:val="true"/>
        </w:rPr>
        <w:t>הוגש כתב האישום המתוקן</w:t>
      </w:r>
      <w:r>
        <w:rPr>
          <w:rtl w:val="true"/>
        </w:rPr>
        <w:t xml:space="preserve">, </w:t>
      </w:r>
      <w:r>
        <w:rPr>
          <w:rtl w:val="true"/>
        </w:rPr>
        <w:t>נשוא גזר דין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עוד יצוין</w:t>
      </w:r>
      <w:r>
        <w:rPr>
          <w:rtl w:val="true"/>
        </w:rPr>
        <w:t xml:space="preserve">, </w:t>
      </w:r>
      <w:r>
        <w:rPr>
          <w:rtl w:val="true"/>
        </w:rPr>
        <w:t>כי בעקבות האירוע כמתואר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נעצר הנאשם ביום </w:t>
      </w:r>
      <w:r>
        <w:rPr/>
        <w:t>13.7.01</w:t>
      </w:r>
      <w:r>
        <w:rPr>
          <w:rtl w:val="true"/>
        </w:rPr>
        <w:t xml:space="preserve">(!) </w:t>
      </w:r>
      <w:r>
        <w:rPr>
          <w:rtl w:val="true"/>
        </w:rPr>
        <w:t>על ידי ימ</w:t>
      </w:r>
      <w:r>
        <w:rPr>
          <w:rtl w:val="true"/>
        </w:rPr>
        <w:t>"</w:t>
      </w:r>
      <w:r>
        <w:rPr>
          <w:rtl w:val="true"/>
        </w:rPr>
        <w:t>ר 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עקב חשד למעורבותו באירוע הירי</w:t>
      </w:r>
      <w:r>
        <w:rPr>
          <w:rtl w:val="true"/>
        </w:rPr>
        <w:t xml:space="preserve">, </w:t>
      </w:r>
      <w:r>
        <w:rPr>
          <w:rtl w:val="true"/>
        </w:rPr>
        <w:t xml:space="preserve">ושהה במעצר עד ליום </w:t>
      </w:r>
      <w:r>
        <w:rPr/>
        <w:t>15.8.01</w:t>
      </w:r>
      <w:r>
        <w:rPr>
          <w:rtl w:val="true"/>
        </w:rPr>
        <w:t xml:space="preserve">. </w:t>
      </w:r>
      <w:r>
        <w:rPr>
          <w:rtl w:val="true"/>
        </w:rPr>
        <w:t>סופו של דבר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13.7.02</w:t>
      </w:r>
      <w:r>
        <w:rPr>
          <w:rtl w:val="true"/>
        </w:rPr>
        <w:t xml:space="preserve"> </w:t>
      </w:r>
      <w:r>
        <w:rPr>
          <w:rtl w:val="true"/>
        </w:rPr>
        <w:t>הוחלט לסגור את תיק החקירה</w:t>
      </w:r>
      <w:r>
        <w:rPr>
          <w:rtl w:val="true"/>
        </w:rPr>
        <w:t xml:space="preserve">, </w:t>
      </w:r>
      <w:r>
        <w:rPr>
          <w:rtl w:val="true"/>
        </w:rPr>
        <w:t>נשוא אירוע הירי</w:t>
      </w:r>
      <w:r>
        <w:rPr>
          <w:rtl w:val="true"/>
        </w:rPr>
        <w:t xml:space="preserve">, </w:t>
      </w:r>
      <w:r>
        <w:rPr>
          <w:rtl w:val="true"/>
        </w:rPr>
        <w:t>וזאת מחוסר ראיות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כתב האישום</w:t>
      </w:r>
      <w:r>
        <w:rPr>
          <w:rtl w:val="true"/>
        </w:rPr>
        <w:t xml:space="preserve">, </w:t>
      </w:r>
      <w:r>
        <w:rPr>
          <w:rtl w:val="true"/>
        </w:rPr>
        <w:t>זה המקורי</w:t>
      </w:r>
      <w:r>
        <w:rPr>
          <w:rtl w:val="true"/>
        </w:rPr>
        <w:t xml:space="preserve">, </w:t>
      </w:r>
      <w:r>
        <w:rPr>
          <w:rtl w:val="true"/>
        </w:rPr>
        <w:t>הוגש מחדש</w:t>
      </w:r>
      <w:r>
        <w:rPr>
          <w:rtl w:val="true"/>
        </w:rPr>
        <w:t xml:space="preserve">, </w:t>
      </w:r>
      <w:r>
        <w:rPr>
          <w:rtl w:val="true"/>
        </w:rPr>
        <w:t>עקב מידע מודיעיני שסיפק למשטרה</w:t>
      </w:r>
      <w:r>
        <w:rPr>
          <w:rtl w:val="true"/>
        </w:rPr>
        <w:t xml:space="preserve">, </w:t>
      </w:r>
      <w:r>
        <w:rPr>
          <w:rtl w:val="true"/>
        </w:rPr>
        <w:t>עד המדינה</w:t>
      </w:r>
      <w:r>
        <w:rPr>
          <w:rtl w:val="true"/>
        </w:rPr>
        <w:t xml:space="preserve">, </w:t>
      </w:r>
      <w:r>
        <w:rPr>
          <w:rtl w:val="true"/>
        </w:rPr>
        <w:t xml:space="preserve">אשר כונה 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" </w:t>
      </w:r>
      <w:r>
        <w:rPr>
          <w:rtl w:val="true"/>
        </w:rPr>
        <w:t>ואשר העיד בפנינו</w:t>
      </w:r>
      <w:r>
        <w:rPr>
          <w:rtl w:val="true"/>
        </w:rPr>
        <w:t xml:space="preserve">, </w:t>
      </w:r>
      <w:r>
        <w:rPr>
          <w:rtl w:val="true"/>
        </w:rPr>
        <w:t>וכפי שעוד יסופר להלן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בשלב הראשון הוגש כנגד הנאשם כתב אישום ובו יוחסה לנאשם עבירה של ניסיון לרצח וזאת לצד עבירות נוספות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בעובדות כתב האישום המקורי</w:t>
      </w:r>
      <w:r>
        <w:rPr>
          <w:rtl w:val="true"/>
        </w:rPr>
        <w:t xml:space="preserve">, </w:t>
      </w:r>
      <w:r>
        <w:rPr>
          <w:rtl w:val="true"/>
        </w:rPr>
        <w:t>כפר הנאשם ומשכך</w:t>
      </w:r>
      <w:r>
        <w:rPr>
          <w:rtl w:val="true"/>
        </w:rPr>
        <w:t xml:space="preserve">, </w:t>
      </w:r>
      <w:r>
        <w:rPr>
          <w:rtl w:val="true"/>
        </w:rPr>
        <w:t>החלה פרשת הראיות</w:t>
      </w:r>
      <w:r>
        <w:rPr>
          <w:rtl w:val="true"/>
        </w:rPr>
        <w:t xml:space="preserve">, </w:t>
      </w:r>
      <w:r>
        <w:rPr>
          <w:rtl w:val="true"/>
        </w:rPr>
        <w:t>תוך שתחילה העיד</w:t>
      </w:r>
      <w:r>
        <w:rPr>
          <w:rtl w:val="true"/>
        </w:rPr>
        <w:t xml:space="preserve">, </w:t>
      </w:r>
      <w:r>
        <w:rPr>
          <w:rtl w:val="true"/>
        </w:rPr>
        <w:t>במהלך שתי ישיבות</w:t>
      </w:r>
      <w:r>
        <w:rPr>
          <w:rtl w:val="true"/>
        </w:rPr>
        <w:t xml:space="preserve">, </w:t>
      </w:r>
      <w:r>
        <w:rPr>
          <w:rtl w:val="true"/>
        </w:rPr>
        <w:t xml:space="preserve">עד המדינה 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בתום חקירתו הראשית</w:t>
      </w:r>
      <w:r>
        <w:rPr>
          <w:rtl w:val="true"/>
        </w:rPr>
        <w:t xml:space="preserve">, </w:t>
      </w:r>
      <w:r>
        <w:rPr>
          <w:rtl w:val="true"/>
        </w:rPr>
        <w:t xml:space="preserve">הנגדית והחוזרת של 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", </w:t>
      </w:r>
      <w:r>
        <w:rPr>
          <w:rtl w:val="true"/>
        </w:rPr>
        <w:t>אשר השתרעה על פני כ</w:t>
      </w:r>
      <w:r>
        <w:rPr>
          <w:rtl w:val="true"/>
        </w:rPr>
        <w:t xml:space="preserve">-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 xml:space="preserve">עמודי פרוטוקול </w:t>
      </w:r>
      <w:r>
        <w:rPr>
          <w:rtl w:val="true"/>
        </w:rPr>
        <w:t>(</w:t>
      </w:r>
      <w:r>
        <w:rPr>
          <w:rtl w:val="true"/>
        </w:rPr>
        <w:t>מוקלט</w:t>
      </w:r>
      <w:r>
        <w:rPr>
          <w:rtl w:val="true"/>
        </w:rPr>
        <w:t xml:space="preserve">) </w:t>
      </w:r>
      <w:r>
        <w:rPr>
          <w:rtl w:val="true"/>
        </w:rPr>
        <w:t>הודיעו הצדדים</w:t>
      </w:r>
      <w:r>
        <w:rPr>
          <w:rtl w:val="true"/>
        </w:rPr>
        <w:t xml:space="preserve">, </w:t>
      </w:r>
      <w:r>
        <w:rPr>
          <w:rtl w:val="true"/>
        </w:rPr>
        <w:t xml:space="preserve">כי בעקבות התפתחויות בתיקים אחרים בהם היה 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" </w:t>
      </w:r>
      <w:r>
        <w:rPr>
          <w:rtl w:val="true"/>
        </w:rPr>
        <w:t>עד המדינה</w:t>
      </w:r>
      <w:r>
        <w:rPr>
          <w:rtl w:val="true"/>
        </w:rPr>
        <w:t xml:space="preserve">, </w:t>
      </w:r>
      <w:r>
        <w:rPr>
          <w:rtl w:val="true"/>
        </w:rPr>
        <w:t>מנהלים הצדדים כולם מגעים לסיום כל התיקים בהסדרי טיעון כאלו ואחרים</w:t>
      </w:r>
      <w:r>
        <w:rPr>
          <w:rtl w:val="true"/>
        </w:rPr>
        <w:t xml:space="preserve">, </w:t>
      </w:r>
      <w:r>
        <w:rPr>
          <w:rtl w:val="true"/>
        </w:rPr>
        <w:t>וביקשו לשם כך</w:t>
      </w:r>
      <w:r>
        <w:rPr>
          <w:rtl w:val="true"/>
        </w:rPr>
        <w:t xml:space="preserve">, </w:t>
      </w:r>
      <w:r>
        <w:rPr>
          <w:rtl w:val="true"/>
        </w:rPr>
        <w:t>שהות</w:t>
      </w:r>
      <w:r>
        <w:rPr>
          <w:rtl w:val="true"/>
        </w:rPr>
        <w:t xml:space="preserve">, </w:t>
      </w:r>
      <w:r>
        <w:rPr>
          <w:rtl w:val="true"/>
        </w:rPr>
        <w:t>על מנת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tl w:val="true"/>
        </w:rPr>
        <w:t xml:space="preserve">, </w:t>
      </w:r>
      <w:r>
        <w:rPr>
          <w:rtl w:val="true"/>
        </w:rPr>
        <w:t>בין השאר</w:t>
      </w:r>
      <w:r>
        <w:rPr>
          <w:rtl w:val="true"/>
        </w:rPr>
        <w:t xml:space="preserve">, </w:t>
      </w:r>
      <w:r>
        <w:rPr>
          <w:rtl w:val="true"/>
        </w:rPr>
        <w:t>את עמדת פרקליט 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מאמצים אלו נשאו פרי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13.3.11</w:t>
      </w:r>
      <w:r>
        <w:rPr>
          <w:rtl w:val="true"/>
        </w:rPr>
        <w:t xml:space="preserve">, </w:t>
      </w:r>
      <w:r>
        <w:rPr>
          <w:rtl w:val="true"/>
        </w:rPr>
        <w:t>הודיעו הצדדים על הסדר טיעון שפרטיו 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יחזור בו מכפירתו</w:t>
      </w:r>
      <w:r>
        <w:rPr>
          <w:rtl w:val="true"/>
        </w:rPr>
        <w:t xml:space="preserve">, </w:t>
      </w:r>
      <w:r>
        <w:rPr>
          <w:rtl w:val="true"/>
        </w:rPr>
        <w:t>יוגש כתב אישום מתוקן אשר בעובדותיו יודה ויורשע הנאשם</w:t>
      </w:r>
      <w:r>
        <w:rPr>
          <w:rtl w:val="true"/>
        </w:rPr>
        <w:t xml:space="preserve">. </w:t>
      </w:r>
      <w:r>
        <w:rPr>
          <w:rtl w:val="true"/>
        </w:rPr>
        <w:t xml:space="preserve">על הנאשם יוטלו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המחלוקת בין הצדדים נסבה</w:t>
      </w:r>
      <w:r>
        <w:rPr>
          <w:rtl w:val="true"/>
        </w:rPr>
        <w:t xml:space="preserve">, </w:t>
      </w:r>
      <w:r>
        <w:rPr>
          <w:rtl w:val="true"/>
        </w:rPr>
        <w:t>על השאלה</w:t>
      </w:r>
      <w:r>
        <w:rPr>
          <w:rtl w:val="true"/>
        </w:rPr>
        <w:t xml:space="preserve">, </w:t>
      </w:r>
      <w:r>
        <w:rPr>
          <w:rtl w:val="true"/>
        </w:rPr>
        <w:t>איזה חלק מתקופת המאסר</w:t>
      </w:r>
      <w:r>
        <w:rPr>
          <w:rtl w:val="true"/>
        </w:rPr>
        <w:t xml:space="preserve">, </w:t>
      </w:r>
      <w:r>
        <w:rPr>
          <w:rtl w:val="true"/>
        </w:rPr>
        <w:t xml:space="preserve">ירוצה באופן חופף לעונש המאסר אותו מרצה הנאשם כעת </w:t>
      </w:r>
      <w:r>
        <w:rPr>
          <w:rtl w:val="true"/>
        </w:rPr>
        <w:t>(</w:t>
      </w:r>
      <w:r>
        <w:rPr>
          <w:rtl w:val="true"/>
        </w:rPr>
        <w:t>ועל כך להלן</w:t>
      </w:r>
      <w:r>
        <w:rPr>
          <w:rtl w:val="true"/>
        </w:rPr>
        <w:t xml:space="preserve">) </w:t>
      </w:r>
      <w:r>
        <w:rPr>
          <w:rtl w:val="true"/>
        </w:rPr>
        <w:t>ואיזה חלק הימנו ירוצה באופן מצטבר לאותו עונש מאסר</w:t>
      </w:r>
      <w:r>
        <w:rPr>
          <w:rtl w:val="true"/>
        </w:rPr>
        <w:t xml:space="preserve">, </w:t>
      </w:r>
      <w:r>
        <w:rPr>
          <w:rtl w:val="true"/>
        </w:rPr>
        <w:t>כאשר לעניין זה</w:t>
      </w:r>
      <w:r>
        <w:rPr>
          <w:rtl w:val="true"/>
        </w:rPr>
        <w:t xml:space="preserve">, </w:t>
      </w:r>
      <w:r>
        <w:rPr>
          <w:rtl w:val="true"/>
        </w:rPr>
        <w:t>תדרוש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חודשים ירוצו במצטבר לעונש המאסר אותו מרצה עתה הנאשם</w:t>
      </w:r>
      <w:r>
        <w:rPr>
          <w:rtl w:val="true"/>
        </w:rPr>
        <w:t xml:space="preserve">, </w:t>
      </w:r>
      <w:r>
        <w:rPr>
          <w:rtl w:val="true"/>
        </w:rPr>
        <w:t>ואילו ההגנה תעתור לריצוי</w:t>
      </w:r>
      <w:r>
        <w:rPr>
          <w:rtl w:val="true"/>
        </w:rPr>
        <w:t xml:space="preserve">, </w:t>
      </w:r>
      <w:r>
        <w:rPr>
          <w:rtl w:val="true"/>
        </w:rPr>
        <w:t>באופן מצטבר של תקופה פחותה מזו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הסכימו הצדדים</w:t>
      </w:r>
      <w:r>
        <w:rPr>
          <w:rtl w:val="true"/>
        </w:rPr>
        <w:t xml:space="preserve">, </w:t>
      </w:r>
      <w:r>
        <w:rPr>
          <w:rtl w:val="true"/>
        </w:rPr>
        <w:t>כי עונש מאסר מותנה</w:t>
      </w:r>
      <w:r>
        <w:rPr>
          <w:rtl w:val="true"/>
        </w:rPr>
        <w:t xml:space="preserve">, </w:t>
      </w:r>
      <w:r>
        <w:rPr>
          <w:rtl w:val="true"/>
        </w:rPr>
        <w:t xml:space="preserve">אשר הוטל על הנאשם במסגרת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160/91</w:t>
      </w:r>
      <w:r>
        <w:rPr>
          <w:rtl w:val="true"/>
        </w:rPr>
        <w:t xml:space="preserve"> (</w:t>
      </w:r>
      <w:r>
        <w:rPr>
          <w:rtl w:val="true"/>
        </w:rPr>
        <w:t>מחוזי נצ</w:t>
      </w:r>
      <w:r>
        <w:rPr>
          <w:rtl w:val="true"/>
        </w:rPr>
        <w:t xml:space="preserve">'), </w:t>
      </w:r>
      <w:r>
        <w:rPr>
          <w:rtl w:val="true"/>
        </w:rPr>
        <w:t>ירוצה כולו באופן חופף לעונש המאסר אותו מרצה עתה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בטיעוניו לעונש הפנה לעברו הפלילי המכביד של הנאשם</w:t>
      </w:r>
      <w:r>
        <w:rPr>
          <w:rtl w:val="true"/>
        </w:rPr>
        <w:t xml:space="preserve">, </w:t>
      </w:r>
      <w:r>
        <w:rPr>
          <w:rtl w:val="true"/>
        </w:rPr>
        <w:t>הכולל בחובו גיליון הרשעות משמעותי</w:t>
      </w:r>
      <w:r>
        <w:rPr>
          <w:rtl w:val="true"/>
        </w:rPr>
        <w:t xml:space="preserve">, </w:t>
      </w:r>
      <w:r>
        <w:rPr>
          <w:rtl w:val="true"/>
        </w:rPr>
        <w:t>לרבות ההרשעה נשוא הת</w:t>
      </w:r>
      <w:r>
        <w:rPr>
          <w:rtl w:val="true"/>
        </w:rPr>
        <w:t>"</w:t>
      </w:r>
      <w:r>
        <w:rPr>
          <w:rtl w:val="true"/>
        </w:rPr>
        <w:t>פ הנ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/>
        <w:t>160/91</w:t>
      </w:r>
      <w:r>
        <w:rPr>
          <w:rtl w:val="true"/>
        </w:rPr>
        <w:t xml:space="preserve">) </w:t>
      </w:r>
      <w:r>
        <w:rPr>
          <w:rtl w:val="true"/>
        </w:rPr>
        <w:t xml:space="preserve">בו הוטלו על הנאשם לבד מעונש מאסר בפועל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גם עונש מאסר מותנה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הפנה ב</w:t>
      </w:r>
      <w:r>
        <w:rPr>
          <w:rtl w:val="true"/>
        </w:rPr>
        <w:t>"</w:t>
      </w:r>
      <w:r>
        <w:rPr>
          <w:rtl w:val="true"/>
        </w:rPr>
        <w:t>כ המאשימה לכך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ריצה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עונשי מאסר שונים</w:t>
      </w:r>
      <w:r>
        <w:rPr>
          <w:rtl w:val="true"/>
        </w:rPr>
        <w:t xml:space="preserve">, </w:t>
      </w:r>
      <w:r>
        <w:rPr>
          <w:rtl w:val="true"/>
        </w:rPr>
        <w:t>אם כי חלקם באופן חופף</w:t>
      </w:r>
      <w:r>
        <w:rPr>
          <w:rtl w:val="true"/>
        </w:rPr>
        <w:t xml:space="preserve">, </w:t>
      </w:r>
      <w:r>
        <w:rPr>
          <w:rtl w:val="true"/>
        </w:rPr>
        <w:t>וכי את המעשים בהם הורשע בכתב אישום זה ביצע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בלבד</w:t>
      </w:r>
      <w:r>
        <w:rPr>
          <w:rtl w:val="true"/>
        </w:rPr>
        <w:t xml:space="preserve">, </w:t>
      </w:r>
      <w:r>
        <w:rPr>
          <w:rtl w:val="true"/>
        </w:rPr>
        <w:t>לאחר ששוחרר מן המאסר אשר נגזר עליו 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160/91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גם לאחר ביצוען של עבירות נשוא תיק זה</w:t>
      </w:r>
      <w:r>
        <w:rPr>
          <w:rtl w:val="true"/>
        </w:rPr>
        <w:t xml:space="preserve">, </w:t>
      </w:r>
      <w:r>
        <w:rPr>
          <w:rtl w:val="true"/>
        </w:rPr>
        <w:t>ביצע הנאשם עבירות חמורות נוספות</w:t>
      </w:r>
      <w:r>
        <w:rPr>
          <w:rtl w:val="true"/>
        </w:rPr>
        <w:t xml:space="preserve">, </w:t>
      </w:r>
      <w:r>
        <w:rPr>
          <w:rtl w:val="true"/>
        </w:rPr>
        <w:t>של סיוע לרצח ועבירות נוספות</w:t>
      </w:r>
      <w:r>
        <w:rPr>
          <w:rtl w:val="true"/>
        </w:rPr>
        <w:t xml:space="preserve">, </w:t>
      </w:r>
      <w:r>
        <w:rPr>
          <w:rtl w:val="true"/>
        </w:rPr>
        <w:t>בגינן נדון 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אותן הוא מרצה עתה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הפנה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לחומרת מעשיו של הנאשם כפי שבאו לידי ביטוי בכתב האישום המתוקן</w:t>
      </w:r>
      <w:r>
        <w:rPr>
          <w:rtl w:val="true"/>
        </w:rPr>
        <w:t xml:space="preserve">, </w:t>
      </w:r>
      <w:r>
        <w:rPr>
          <w:rtl w:val="true"/>
        </w:rPr>
        <w:t>מעשים אשר כתוצאה מהם נפגע גליקרוב באופן קשה ביותר</w:t>
      </w:r>
      <w:r>
        <w:rPr>
          <w:rtl w:val="true"/>
        </w:rPr>
        <w:t xml:space="preserve">, </w:t>
      </w:r>
      <w:r>
        <w:rPr>
          <w:rtl w:val="true"/>
        </w:rPr>
        <w:t>כתוצאה משימוש בנשק חם בו השתמש הנאשם</w:t>
      </w:r>
      <w:r>
        <w:rPr>
          <w:rtl w:val="true"/>
        </w:rPr>
        <w:t xml:space="preserve">. </w:t>
      </w:r>
      <w:r>
        <w:rPr>
          <w:rtl w:val="true"/>
        </w:rPr>
        <w:t>עוד ב</w:t>
      </w:r>
      <w:r>
        <w:rPr>
          <w:rtl w:val="true"/>
        </w:rPr>
        <w:t>"</w:t>
      </w:r>
      <w:r>
        <w:rPr>
          <w:rtl w:val="true"/>
        </w:rPr>
        <w:t>כ המאשימה הוסיף והפנה לעבירות הנוספות בהן הורשע הנאשם</w:t>
      </w:r>
      <w:r>
        <w:rPr>
          <w:rtl w:val="true"/>
        </w:rPr>
        <w:t xml:space="preserve">, </w:t>
      </w:r>
      <w:r>
        <w:rPr>
          <w:rtl w:val="true"/>
        </w:rPr>
        <w:t>כמו הדחת עדים ושיבוש מהלכי 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לשיקולים לקולא</w:t>
      </w:r>
      <w:r>
        <w:rPr>
          <w:rtl w:val="true"/>
        </w:rPr>
        <w:t xml:space="preserve">, </w:t>
      </w:r>
      <w:r>
        <w:rPr>
          <w:rtl w:val="true"/>
        </w:rPr>
        <w:t>כמו חלוף הזמן ממועד ביצוע העבירות</w:t>
      </w:r>
      <w:r>
        <w:rPr>
          <w:rtl w:val="true"/>
        </w:rPr>
        <w:t xml:space="preserve">, </w:t>
      </w:r>
      <w:r>
        <w:rPr>
          <w:rtl w:val="true"/>
        </w:rPr>
        <w:t>הקשיים הראייתיים בתיק ועוד</w:t>
      </w:r>
      <w:r>
        <w:rPr>
          <w:rtl w:val="true"/>
        </w:rPr>
        <w:t xml:space="preserve">, </w:t>
      </w:r>
      <w:r>
        <w:rPr>
          <w:rtl w:val="true"/>
        </w:rPr>
        <w:t xml:space="preserve">הרי שאלו נלקחו בחשבון עת הסכימה המאשימה לעתור לעונש מצטבר של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 בלבד</w:t>
      </w:r>
      <w:r>
        <w:rPr>
          <w:rtl w:val="true"/>
        </w:rPr>
        <w:t xml:space="preserve">, </w:t>
      </w:r>
      <w:r>
        <w:rPr>
          <w:rtl w:val="true"/>
        </w:rPr>
        <w:t>עונש שהינו מקל במיוחד ואינו עומד ביחס כלשהו לעבירות אותן ביצע הנאשם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אליבא דב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אין להקל עם הנאשם הקלה נוספת מעבר להקלה שהקלה עמו הפרקליטות</w:t>
      </w:r>
      <w:r>
        <w:rPr>
          <w:rtl w:val="true"/>
        </w:rPr>
        <w:t xml:space="preserve">, </w:t>
      </w:r>
      <w:r>
        <w:rPr>
          <w:rtl w:val="true"/>
        </w:rPr>
        <w:t>בעתירתה לריצוי עונש מאסר מצטבר מקל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הפנה לאסופת פסקי דין בהן נגזרו בעבירות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עונשים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ואף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למי שעברם הפלילי היה מינורי וקל בהרבה מזה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הסנגור לעומת זאת</w:t>
      </w:r>
      <w:r>
        <w:rPr>
          <w:rtl w:val="true"/>
        </w:rPr>
        <w:t xml:space="preserve">, </w:t>
      </w:r>
      <w:r>
        <w:rPr>
          <w:rtl w:val="true"/>
        </w:rPr>
        <w:t>עותר לענישה מצטברת מופחתת מאוד</w:t>
      </w:r>
      <w:r>
        <w:rPr>
          <w:rtl w:val="true"/>
        </w:rPr>
        <w:t xml:space="preserve">, </w:t>
      </w:r>
      <w:r>
        <w:rPr>
          <w:rtl w:val="true"/>
        </w:rPr>
        <w:t>תוך שביקש שלא לנקוב בתקופת מאסר מדויקת אשר תצטבר לעונש המאסר 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בתימוכין לטענתו לפיה יש להקל עד מאוד בעונשו המצטבר של הנאשם</w:t>
      </w:r>
      <w:r>
        <w:rPr>
          <w:rtl w:val="true"/>
        </w:rPr>
        <w:t xml:space="preserve">, </w:t>
      </w:r>
      <w:r>
        <w:rPr>
          <w:rtl w:val="true"/>
        </w:rPr>
        <w:t>הפנה ב</w:t>
      </w:r>
      <w:r>
        <w:rPr>
          <w:rtl w:val="true"/>
        </w:rPr>
        <w:t>"</w:t>
      </w:r>
      <w:r>
        <w:rPr>
          <w:rtl w:val="true"/>
        </w:rPr>
        <w:t>כ הנאשם לכך</w:t>
      </w:r>
      <w:r>
        <w:rPr>
          <w:rtl w:val="true"/>
        </w:rPr>
        <w:t xml:space="preserve">, </w:t>
      </w:r>
      <w:r>
        <w:rPr>
          <w:rtl w:val="true"/>
        </w:rPr>
        <w:t>כי הסדר הטיעון והעונש המקל בעקבותיו</w:t>
      </w:r>
      <w:r>
        <w:rPr>
          <w:rtl w:val="true"/>
        </w:rPr>
        <w:t xml:space="preserve">, </w:t>
      </w:r>
      <w:r>
        <w:rPr>
          <w:rtl w:val="true"/>
        </w:rPr>
        <w:t>היה עקב הקושי הראייתי שעמד בפני המאשימה</w:t>
      </w:r>
      <w:r>
        <w:rPr>
          <w:rtl w:val="true"/>
        </w:rPr>
        <w:t xml:space="preserve">. </w:t>
      </w:r>
      <w:r>
        <w:rPr>
          <w:rtl w:val="true"/>
        </w:rPr>
        <w:t>קושי זה נעוץ</w:t>
      </w:r>
      <w:r>
        <w:rPr>
          <w:rtl w:val="true"/>
        </w:rPr>
        <w:t xml:space="preserve">, 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הן בכך שחלק מהותי מחומר הראיות המקורי שנאסף בשנת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אבד והן משום שלא ניתן לסמוך על אמינותו של עד המדינה</w:t>
      </w:r>
      <w:r>
        <w:rPr>
          <w:rtl w:val="true"/>
        </w:rPr>
        <w:t xml:space="preserve">, </w:t>
      </w:r>
      <w:r>
        <w:rPr>
          <w:rtl w:val="true"/>
        </w:rPr>
        <w:t>וזאת עקב השוני שבין גרסאותיו השונות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לעניין אבדן החומר הראייתי</w:t>
      </w:r>
      <w:r>
        <w:rPr>
          <w:rtl w:val="true"/>
        </w:rPr>
        <w:t xml:space="preserve">, </w:t>
      </w:r>
      <w:r>
        <w:rPr>
          <w:rtl w:val="true"/>
        </w:rPr>
        <w:t>הגיש ב</w:t>
      </w:r>
      <w:r>
        <w:rPr>
          <w:rtl w:val="true"/>
        </w:rPr>
        <w:t>"</w:t>
      </w:r>
      <w:r>
        <w:rPr>
          <w:rtl w:val="true"/>
        </w:rPr>
        <w:t>כ הנאשם בתחילתו של ההליך</w:t>
      </w:r>
      <w:r>
        <w:rPr>
          <w:rtl w:val="true"/>
        </w:rPr>
        <w:t xml:space="preserve">, </w:t>
      </w:r>
      <w:r>
        <w:rPr>
          <w:rtl w:val="true"/>
        </w:rPr>
        <w:t>בקשה לביטול כתב האישום מחמת הגנה מן הצדק</w:t>
      </w:r>
      <w:r>
        <w:rPr>
          <w:rtl w:val="true"/>
        </w:rPr>
        <w:t xml:space="preserve">, </w:t>
      </w:r>
      <w:r>
        <w:rPr>
          <w:rtl w:val="true"/>
        </w:rPr>
        <w:t>עקב  אובדנו של חומר החקירה</w:t>
      </w:r>
      <w:r>
        <w:rPr>
          <w:rtl w:val="true"/>
        </w:rPr>
        <w:t xml:space="preserve">, </w:t>
      </w:r>
      <w:r>
        <w:rPr>
          <w:rtl w:val="true"/>
        </w:rPr>
        <w:t>אלא שבקשתו זו</w:t>
      </w:r>
      <w:r>
        <w:rPr>
          <w:rtl w:val="true"/>
        </w:rPr>
        <w:t xml:space="preserve">, </w:t>
      </w:r>
      <w:r>
        <w:rPr>
          <w:rtl w:val="true"/>
        </w:rPr>
        <w:t>נדחתה על ידינו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הפנה לנסיבות חייו הקשות של הנאשם</w:t>
      </w:r>
      <w:r>
        <w:rPr>
          <w:rtl w:val="true"/>
        </w:rPr>
        <w:t xml:space="preserve">, </w:t>
      </w:r>
      <w:r>
        <w:rPr>
          <w:rtl w:val="true"/>
        </w:rPr>
        <w:t>לעובדה כי הוא כבר ריצה בכלא כ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וכי הוא עתיד לרצות עוד מספר שנים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tl w:val="true"/>
        </w:rPr>
        <w:t>-</w:t>
      </w:r>
      <w:r>
        <w:rPr>
          <w:rtl w:val="true"/>
        </w:rPr>
        <w:t>הכל כ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עוד מפנה ב</w:t>
      </w:r>
      <w:r>
        <w:rPr>
          <w:rtl w:val="true"/>
        </w:rPr>
        <w:t>"</w:t>
      </w:r>
      <w:r>
        <w:rPr>
          <w:rtl w:val="true"/>
        </w:rPr>
        <w:t>כ הנאשם לכך</w:t>
      </w:r>
      <w:r>
        <w:rPr>
          <w:rtl w:val="true"/>
        </w:rPr>
        <w:t xml:space="preserve">, </w:t>
      </w:r>
      <w:r>
        <w:rPr>
          <w:rtl w:val="true"/>
        </w:rPr>
        <w:t xml:space="preserve">כי כנגד הנאשם הוגש כתב אישום בגין </w:t>
      </w:r>
      <w:r>
        <w:rPr>
          <w:rtl w:val="true"/>
        </w:rPr>
        <w:t>"</w:t>
      </w:r>
      <w:r>
        <w:rPr>
          <w:rtl w:val="true"/>
        </w:rPr>
        <w:t>רצח משולש</w:t>
      </w:r>
      <w:r>
        <w:rPr>
          <w:rtl w:val="true"/>
        </w:rPr>
        <w:t xml:space="preserve">" </w:t>
      </w:r>
      <w:r>
        <w:rPr>
          <w:rtl w:val="true"/>
        </w:rPr>
        <w:t>בטבריה</w:t>
      </w:r>
      <w:r>
        <w:rPr>
          <w:rtl w:val="true"/>
        </w:rPr>
        <w:t xml:space="preserve">, </w:t>
      </w:r>
      <w:r>
        <w:rPr>
          <w:rtl w:val="true"/>
        </w:rPr>
        <w:t xml:space="preserve">ורק לאחר משפט שהתנהל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וחצי שנים ולאחר שהוגשו סיכומים</w:t>
      </w:r>
      <w:r>
        <w:rPr>
          <w:rtl w:val="true"/>
        </w:rPr>
        <w:t xml:space="preserve">, </w:t>
      </w:r>
      <w:r>
        <w:rPr>
          <w:rtl w:val="true"/>
        </w:rPr>
        <w:t>תוקן כתב האישום לעבירה של סיוע ברצח בלבד</w:t>
      </w:r>
      <w:r>
        <w:rPr>
          <w:rtl w:val="true"/>
        </w:rPr>
        <w:t xml:space="preserve">, </w:t>
      </w:r>
      <w:r>
        <w:rPr>
          <w:rtl w:val="true"/>
        </w:rPr>
        <w:t xml:space="preserve">ובגינה מרצה כאמור הנאשם 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מפנה ב</w:t>
      </w:r>
      <w:r>
        <w:rPr>
          <w:rtl w:val="true"/>
        </w:rPr>
        <w:t>"</w:t>
      </w:r>
      <w:r>
        <w:rPr>
          <w:rtl w:val="true"/>
        </w:rPr>
        <w:t>כ הנאשם לכך שכתב האישום</w:t>
      </w:r>
      <w:r>
        <w:rPr>
          <w:rtl w:val="true"/>
        </w:rPr>
        <w:t xml:space="preserve">, </w:t>
      </w:r>
      <w:r>
        <w:rPr>
          <w:rtl w:val="true"/>
        </w:rPr>
        <w:t>זה הנוכחי</w:t>
      </w:r>
      <w:r>
        <w:rPr>
          <w:rtl w:val="true"/>
        </w:rPr>
        <w:t xml:space="preserve">, </w:t>
      </w:r>
      <w:r>
        <w:rPr>
          <w:rtl w:val="true"/>
        </w:rPr>
        <w:t>הוגש בחלוף כ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 מהמעשה המיוחס לנאשם</w:t>
      </w:r>
      <w:r>
        <w:rPr>
          <w:rtl w:val="true"/>
        </w:rPr>
        <w:t xml:space="preserve">, </w:t>
      </w:r>
      <w:r>
        <w:rPr>
          <w:rtl w:val="true"/>
        </w:rPr>
        <w:t>וזאת שעה שהנאשם כבר החל לצאת לסבב חופשות</w:t>
      </w:r>
      <w:r>
        <w:rPr>
          <w:rtl w:val="true"/>
        </w:rPr>
        <w:t xml:space="preserve">, </w:t>
      </w:r>
      <w:r>
        <w:rPr>
          <w:rtl w:val="true"/>
        </w:rPr>
        <w:t>סבב אשר נקטע עקב הגשת כתב האישום 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 השנים</w:t>
      </w:r>
      <w:r>
        <w:rPr>
          <w:rtl w:val="true"/>
        </w:rPr>
        <w:t xml:space="preserve">, </w:t>
      </w:r>
      <w:r>
        <w:rPr>
          <w:rtl w:val="true"/>
        </w:rPr>
        <w:t>ובעצם במועד מעצרו בתיק</w:t>
      </w:r>
      <w:r>
        <w:rPr>
          <w:rtl w:val="true"/>
        </w:rPr>
        <w:t xml:space="preserve">, </w:t>
      </w:r>
      <w:r>
        <w:rPr>
          <w:rtl w:val="true"/>
        </w:rPr>
        <w:t>בו הורשע סופו של דבר</w:t>
      </w:r>
      <w:r>
        <w:rPr>
          <w:rtl w:val="true"/>
        </w:rPr>
        <w:t xml:space="preserve">, </w:t>
      </w:r>
      <w:r>
        <w:rPr>
          <w:rtl w:val="true"/>
        </w:rPr>
        <w:t>בניסיון לרצח</w:t>
      </w:r>
      <w:r>
        <w:rPr>
          <w:rtl w:val="true"/>
        </w:rPr>
        <w:t xml:space="preserve">, </w:t>
      </w:r>
      <w:r>
        <w:rPr>
          <w:rtl w:val="true"/>
        </w:rPr>
        <w:t>נולד לנאשם בנו יחידו</w:t>
      </w:r>
      <w:r>
        <w:rPr>
          <w:rtl w:val="true"/>
        </w:rPr>
        <w:t xml:space="preserve">, </w:t>
      </w:r>
      <w:r>
        <w:rPr>
          <w:rtl w:val="true"/>
        </w:rPr>
        <w:t>אותו זכה לראות רק בביקורים בין כותלי בית הכלא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 שום כל האמור לעיל</w:t>
      </w:r>
      <w:r>
        <w:rPr>
          <w:rtl w:val="true"/>
        </w:rPr>
        <w:t xml:space="preserve">, </w:t>
      </w:r>
      <w:r>
        <w:rPr>
          <w:rtl w:val="true"/>
        </w:rPr>
        <w:t>פונה ב</w:t>
      </w:r>
      <w:r>
        <w:rPr>
          <w:rtl w:val="true"/>
        </w:rPr>
        <w:t>"</w:t>
      </w:r>
      <w:r>
        <w:rPr>
          <w:rtl w:val="true"/>
        </w:rPr>
        <w:t>כ הנאשם לבית המשפט ומבקש</w:t>
      </w:r>
      <w:r>
        <w:rPr>
          <w:rtl w:val="true"/>
        </w:rPr>
        <w:t xml:space="preserve">, </w:t>
      </w:r>
      <w:r>
        <w:rPr>
          <w:rtl w:val="true"/>
        </w:rPr>
        <w:t>כי יוטל עונש מצטבר אשר יבטא את מידת הרחמים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בדבריו בפנינו</w:t>
      </w:r>
      <w:r>
        <w:rPr>
          <w:rtl w:val="true"/>
        </w:rPr>
        <w:t xml:space="preserve">, </w:t>
      </w:r>
      <w:r>
        <w:rPr>
          <w:rtl w:val="true"/>
        </w:rPr>
        <w:t>פנה אף הוא לרחמי ביתה משפט</w:t>
      </w:r>
      <w:r>
        <w:rPr>
          <w:rtl w:val="true"/>
        </w:rPr>
        <w:t xml:space="preserve">, </w:t>
      </w:r>
      <w:r>
        <w:rPr>
          <w:rtl w:val="true"/>
        </w:rPr>
        <w:t>תוך שהוא גולל בפנינו את עברו הפלילי</w:t>
      </w:r>
      <w:r>
        <w:rPr>
          <w:rtl w:val="true"/>
        </w:rPr>
        <w:t xml:space="preserve">, </w:t>
      </w:r>
      <w:r>
        <w:rPr>
          <w:rtl w:val="true"/>
        </w:rPr>
        <w:t>ואת רצונו</w:t>
      </w:r>
      <w:r>
        <w:rPr>
          <w:rtl w:val="true"/>
        </w:rPr>
        <w:t xml:space="preserve">, </w:t>
      </w:r>
      <w:r>
        <w:rPr>
          <w:rtl w:val="true"/>
        </w:rPr>
        <w:t>אשר בא לידי ביטוי במהלך השנים האחרונות בכלא</w:t>
      </w:r>
      <w:r>
        <w:rPr>
          <w:rtl w:val="true"/>
        </w:rPr>
        <w:t xml:space="preserve">, </w:t>
      </w:r>
      <w:r>
        <w:rPr>
          <w:rtl w:val="true"/>
        </w:rPr>
        <w:t>לצאת סוף סוף ממעגל הפשע</w:t>
      </w:r>
      <w:r>
        <w:rPr>
          <w:rtl w:val="true"/>
        </w:rPr>
        <w:t xml:space="preserve">, </w:t>
      </w:r>
      <w:r>
        <w:rPr>
          <w:rtl w:val="true"/>
        </w:rPr>
        <w:t>ולשוב לאורח חיים נורמטיבי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הנאשם</w:t>
      </w:r>
      <w:r>
        <w:rPr>
          <w:rtl w:val="true"/>
        </w:rPr>
        <w:t xml:space="preserve">, </w:t>
      </w:r>
      <w:r>
        <w:rPr>
          <w:rtl w:val="true"/>
        </w:rPr>
        <w:t>עובר הוא בכלא תהליכים שונים</w:t>
      </w:r>
      <w:r>
        <w:rPr>
          <w:rtl w:val="true"/>
        </w:rPr>
        <w:t xml:space="preserve">, </w:t>
      </w:r>
      <w:r>
        <w:rPr>
          <w:rtl w:val="true"/>
        </w:rPr>
        <w:t>הן בטיפול פרטני והן בטיפול קבוצתי</w:t>
      </w:r>
      <w:r>
        <w:rPr>
          <w:rtl w:val="true"/>
        </w:rPr>
        <w:t xml:space="preserve">, </w:t>
      </w:r>
      <w:r>
        <w:rPr>
          <w:rtl w:val="true"/>
        </w:rPr>
        <w:t>ומזה כ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שנים שהוא </w:t>
      </w:r>
      <w:r>
        <w:rPr>
          <w:rtl w:val="true"/>
        </w:rPr>
        <w:t>"</w:t>
      </w:r>
      <w:r>
        <w:rPr>
          <w:rtl w:val="true"/>
        </w:rPr>
        <w:t>נקי</w:t>
      </w:r>
      <w:r>
        <w:rPr>
          <w:rtl w:val="true"/>
        </w:rPr>
        <w:t xml:space="preserve">" </w:t>
      </w:r>
      <w:r>
        <w:rPr>
          <w:rtl w:val="true"/>
        </w:rPr>
        <w:t>מסמים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מפנה אף הוא לעובדת היותו אבא</w:t>
      </w:r>
      <w:r>
        <w:rPr>
          <w:rtl w:val="true"/>
        </w:rPr>
        <w:t xml:space="preserve">, </w:t>
      </w:r>
      <w:r>
        <w:rPr>
          <w:rtl w:val="true"/>
        </w:rPr>
        <w:t>בפעם הראשונה בחייו ולרצונו בקשר של ממש עם בנו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בסיום דבריו ביקש הנאשם </w:t>
      </w:r>
      <w:r>
        <w:rPr>
          <w:rtl w:val="true"/>
        </w:rPr>
        <w:t>"</w:t>
      </w:r>
      <w:r>
        <w:rPr>
          <w:rtl w:val="true"/>
        </w:rPr>
        <w:t>סליחה ורחמים</w:t>
      </w:r>
      <w:r>
        <w:rPr>
          <w:rtl w:val="true"/>
        </w:rPr>
        <w:t xml:space="preserve">" </w:t>
      </w:r>
      <w:r>
        <w:rPr>
          <w:rtl w:val="true"/>
        </w:rPr>
        <w:t>וביקש כי תינתן לו הזדמנות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קשה היא מלאכת גזר הדין</w:t>
      </w:r>
      <w:r>
        <w:rPr>
          <w:rtl w:val="true"/>
        </w:rPr>
        <w:t xml:space="preserve">, </w:t>
      </w:r>
      <w:r>
        <w:rPr>
          <w:rtl w:val="true"/>
        </w:rPr>
        <w:t>באשר עליה לאזן בין שיקולים שונים</w:t>
      </w:r>
      <w:r>
        <w:rPr>
          <w:rtl w:val="true"/>
        </w:rPr>
        <w:t xml:space="preserve">, </w:t>
      </w:r>
      <w:r>
        <w:rPr>
          <w:rtl w:val="true"/>
        </w:rPr>
        <w:t>כמו 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שיקולי שיקום שונים ועוד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נקדים ונאמר בטרם נדרש לעונש המאסר המצטבר לגופו אותו נשית על הנאשם בסופו של דיון</w:t>
      </w:r>
      <w:r>
        <w:rPr>
          <w:rtl w:val="true"/>
        </w:rPr>
        <w:t xml:space="preserve">, </w:t>
      </w:r>
      <w:r>
        <w:rPr>
          <w:rtl w:val="true"/>
        </w:rPr>
        <w:t>כי הסדר הטיעון נראה לנו</w:t>
      </w:r>
      <w:r>
        <w:rPr>
          <w:rtl w:val="true"/>
        </w:rPr>
        <w:t xml:space="preserve">, </w:t>
      </w:r>
      <w:r>
        <w:rPr>
          <w:rtl w:val="true"/>
        </w:rPr>
        <w:t>בהיותו משקף כדבעי את האינטרס 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מדובר בכתב אישום אשר הוגש רק כ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 לאחר ביצוע העבירות המיוחסות לנאשם</w:t>
      </w:r>
      <w:r>
        <w:rPr>
          <w:rtl w:val="true"/>
        </w:rPr>
        <w:t xml:space="preserve">. </w:t>
      </w:r>
      <w:r>
        <w:rPr>
          <w:rtl w:val="true"/>
        </w:rPr>
        <w:t>מדובר בכתב אישום</w:t>
      </w:r>
      <w:r>
        <w:rPr>
          <w:rtl w:val="true"/>
        </w:rPr>
        <w:t xml:space="preserve">, </w:t>
      </w:r>
      <w:r>
        <w:rPr>
          <w:rtl w:val="true"/>
        </w:rPr>
        <w:t>אשר רוב רובו</w:t>
      </w:r>
      <w:r>
        <w:rPr>
          <w:rtl w:val="true"/>
        </w:rPr>
        <w:t xml:space="preserve">, </w:t>
      </w:r>
      <w:r>
        <w:rPr>
          <w:rtl w:val="true"/>
        </w:rPr>
        <w:t xml:space="preserve">מבוסס על עדותו של עד המדינה 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", </w:t>
      </w:r>
      <w:r>
        <w:rPr>
          <w:rtl w:val="true"/>
        </w:rPr>
        <w:t>אשר כאמור חלק מעדותו שמענו</w:t>
      </w:r>
      <w:r>
        <w:rPr>
          <w:rtl w:val="true"/>
        </w:rPr>
        <w:t xml:space="preserve">, </w:t>
      </w:r>
      <w:r>
        <w:rPr>
          <w:rtl w:val="true"/>
        </w:rPr>
        <w:t>וגם  אנו התרשמנו</w:t>
      </w:r>
      <w:r>
        <w:rPr>
          <w:rtl w:val="true"/>
        </w:rPr>
        <w:t xml:space="preserve">, </w:t>
      </w:r>
      <w:r>
        <w:rPr>
          <w:rtl w:val="true"/>
        </w:rPr>
        <w:t>מבלי שהדבר הגיע לכלל מסקנה סופית</w:t>
      </w:r>
      <w:r>
        <w:rPr>
          <w:rtl w:val="true"/>
        </w:rPr>
        <w:t xml:space="preserve">, </w:t>
      </w:r>
      <w:r>
        <w:rPr>
          <w:rtl w:val="true"/>
        </w:rPr>
        <w:t>שיש בעייתיות מה בעדותו</w:t>
      </w:r>
      <w:r>
        <w:rPr>
          <w:rtl w:val="true"/>
        </w:rPr>
        <w:t xml:space="preserve">. </w:t>
      </w:r>
      <w:r>
        <w:rPr>
          <w:rtl w:val="true"/>
        </w:rPr>
        <w:t>לאמור יש להוסיף את הקושי המובנה שבהסתמכות על עדותו של עד מדינה</w:t>
      </w:r>
      <w:r>
        <w:rPr>
          <w:rtl w:val="true"/>
        </w:rPr>
        <w:t xml:space="preserve">, </w:t>
      </w:r>
      <w:r>
        <w:rPr>
          <w:rtl w:val="true"/>
        </w:rPr>
        <w:t>דוגמת העד שבפנינו</w:t>
      </w:r>
      <w:r>
        <w:rPr>
          <w:rtl w:val="true"/>
        </w:rPr>
        <w:t xml:space="preserve">, </w:t>
      </w:r>
      <w:r>
        <w:rPr>
          <w:rtl w:val="true"/>
        </w:rPr>
        <w:t>שעה שהוא מפליל בעדותו</w:t>
      </w:r>
      <w:r>
        <w:rPr>
          <w:rtl w:val="true"/>
        </w:rPr>
        <w:t xml:space="preserve">, </w:t>
      </w:r>
      <w:r>
        <w:rPr>
          <w:rtl w:val="true"/>
        </w:rPr>
        <w:t>לא רק את הנאשם שבפנינו</w:t>
      </w:r>
      <w:r>
        <w:rPr>
          <w:rtl w:val="true"/>
        </w:rPr>
        <w:t xml:space="preserve">, </w:t>
      </w:r>
      <w:r>
        <w:rPr>
          <w:rtl w:val="true"/>
        </w:rPr>
        <w:t xml:space="preserve">אלא נאשמים נוספים והכל רק לאחר שנעצר ונחשד בפרשת ייבוא סמים בהיקף ניכר ביותר </w:t>
      </w:r>
      <w:r>
        <w:rPr>
          <w:rtl w:val="true"/>
        </w:rPr>
        <w:t>(</w:t>
      </w:r>
      <w:r>
        <w:rPr/>
        <w:t>108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קוקאין</w:t>
      </w:r>
      <w:r>
        <w:rPr>
          <w:rtl w:val="true"/>
        </w:rPr>
        <w:t xml:space="preserve">) </w:t>
      </w:r>
      <w:r>
        <w:rPr>
          <w:rtl w:val="true"/>
        </w:rPr>
        <w:t>ולאחר שבחר להפליל את שותפו לפשע שם ואף ביקש למסור למשטרה מידע</w:t>
      </w:r>
      <w:r>
        <w:rPr>
          <w:rtl w:val="true"/>
        </w:rPr>
        <w:t xml:space="preserve">, </w:t>
      </w:r>
      <w:r>
        <w:rPr>
          <w:rtl w:val="true"/>
        </w:rPr>
        <w:t>בדבר פרשיות רצח שונות</w:t>
      </w:r>
      <w:r>
        <w:rPr>
          <w:rtl w:val="true"/>
        </w:rPr>
        <w:t xml:space="preserve">, </w:t>
      </w:r>
      <w:r>
        <w:rPr>
          <w:rtl w:val="true"/>
        </w:rPr>
        <w:t>כמו גם בפרשת הניסיון לרצח</w:t>
      </w:r>
      <w:r>
        <w:rPr>
          <w:rtl w:val="true"/>
        </w:rPr>
        <w:t xml:space="preserve">, </w:t>
      </w:r>
      <w:r>
        <w:rPr>
          <w:rtl w:val="true"/>
        </w:rPr>
        <w:t>אשר יוחסה לנאשם בכתב האישום המקורי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צודקת המאשימה בטיעוניה</w:t>
      </w:r>
      <w:r>
        <w:rPr>
          <w:rtl w:val="true"/>
        </w:rPr>
        <w:t xml:space="preserve">, </w:t>
      </w:r>
      <w:r>
        <w:rPr>
          <w:rtl w:val="true"/>
        </w:rPr>
        <w:t>כי מדובר בעבירה חמורה</w:t>
      </w:r>
      <w:r>
        <w:rPr>
          <w:rtl w:val="true"/>
        </w:rPr>
        <w:t xml:space="preserve">, </w:t>
      </w:r>
      <w:r>
        <w:rPr>
          <w:rtl w:val="true"/>
        </w:rPr>
        <w:t>אשר רף הענישה הראוי לה</w:t>
      </w:r>
      <w:r>
        <w:rPr>
          <w:rtl w:val="true"/>
        </w:rPr>
        <w:t xml:space="preserve">, </w:t>
      </w:r>
      <w:r>
        <w:rPr>
          <w:rtl w:val="true"/>
        </w:rPr>
        <w:t xml:space="preserve">הינו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ואף יותר מכך</w:t>
      </w:r>
      <w:r>
        <w:rPr>
          <w:rtl w:val="true"/>
        </w:rPr>
        <w:t xml:space="preserve">. </w:t>
      </w:r>
      <w:r>
        <w:rPr>
          <w:rtl w:val="true"/>
        </w:rPr>
        <w:t>זהו אכן</w:t>
      </w:r>
      <w:r>
        <w:rPr>
          <w:rtl w:val="true"/>
        </w:rPr>
        <w:t xml:space="preserve">, </w:t>
      </w:r>
      <w:r>
        <w:rPr>
          <w:rtl w:val="true"/>
        </w:rPr>
        <w:t>רף הענישה הנוהג דרך כלל</w:t>
      </w:r>
      <w:r>
        <w:rPr>
          <w:rtl w:val="true"/>
        </w:rPr>
        <w:t xml:space="preserve">, </w:t>
      </w:r>
      <w:r>
        <w:rPr>
          <w:rtl w:val="true"/>
        </w:rPr>
        <w:t>אולם אין ללמוד מרף ענישה זה</w:t>
      </w:r>
      <w:r>
        <w:rPr>
          <w:rtl w:val="true"/>
        </w:rPr>
        <w:t xml:space="preserve">, </w:t>
      </w:r>
      <w:r>
        <w:rPr>
          <w:rtl w:val="true"/>
        </w:rPr>
        <w:t>על רמת הענישה בתיק שבפנינו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tl w:val="true"/>
        </w:rPr>
        <w:t xml:space="preserve">, </w:t>
      </w:r>
      <w:r>
        <w:rPr>
          <w:rtl w:val="true"/>
        </w:rPr>
        <w:t xml:space="preserve">המדינה עצמה הגבילה עצמה לטעון להטלת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 מאסר במצטבר בלבד</w:t>
      </w:r>
      <w:r>
        <w:rPr>
          <w:rtl w:val="true"/>
        </w:rPr>
        <w:t xml:space="preserve">, </w:t>
      </w:r>
      <w:r>
        <w:rPr>
          <w:rtl w:val="true"/>
        </w:rPr>
        <w:t>תוך שהייתה מודעת</w:t>
      </w:r>
      <w:r>
        <w:rPr>
          <w:rtl w:val="true"/>
        </w:rPr>
        <w:t xml:space="preserve">, </w:t>
      </w:r>
      <w:r>
        <w:rPr>
          <w:rtl w:val="true"/>
        </w:rPr>
        <w:t>כי לנאשם שמורה הזכות לעתור לעונש מאסר מצטבר פחות בהרבה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עיינו אפוא בפסיקה</w:t>
      </w:r>
      <w:r>
        <w:rPr>
          <w:rtl w:val="true"/>
        </w:rPr>
        <w:t xml:space="preserve">, </w:t>
      </w:r>
      <w:r>
        <w:rPr>
          <w:rtl w:val="true"/>
        </w:rPr>
        <w:t>אשר הוגשה לעיונינו על ידי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כבר נאמר לא אחת כי כל מקרה ונסיבותיו המיוחדות וכל עושה ואפיוניו המיוחדים</w:t>
      </w:r>
      <w:r>
        <w:rPr>
          <w:rtl w:val="true"/>
        </w:rPr>
        <w:t xml:space="preserve">. </w:t>
      </w:r>
      <w:r>
        <w:rPr>
          <w:rtl w:val="true"/>
        </w:rPr>
        <w:t>יפים לעניין זה דברים שנאמרו לא מכבר</w:t>
      </w:r>
      <w:r>
        <w:rPr>
          <w:rStyle w:val="normal-h"/>
          <w:color w:val="000000"/>
          <w:rtl w:val="true"/>
        </w:rPr>
        <w:t xml:space="preserve">, </w:t>
      </w:r>
      <w:r>
        <w:rPr>
          <w:rStyle w:val="normal-h"/>
          <w:color w:val="000000"/>
          <w:rtl w:val="true"/>
        </w:rPr>
        <w:t xml:space="preserve">על ידי כבוד השופט </w:t>
      </w:r>
      <w:bookmarkStart w:id="12" w:name="StartTzitata"/>
      <w:bookmarkEnd w:id="12"/>
      <w:r>
        <w:rPr>
          <w:rtl w:val="true"/>
        </w:rPr>
        <w:t>רובינשטיין בע</w:t>
      </w:r>
      <w:r>
        <w:rPr>
          <w:rtl w:val="true"/>
        </w:rPr>
        <w:t>"</w:t>
      </w:r>
      <w:r>
        <w:rPr>
          <w:rtl w:val="true"/>
        </w:rPr>
        <w:t xml:space="preserve">פ 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דג</w:t>
        </w:r>
        <w:r>
          <w:rPr>
            <w:rStyle w:val="Hyperlink"/>
            <w:b/>
            <w:bCs/>
            <w:color w:val="0000FF"/>
            <w:u w:val="single"/>
            <w:rtl w:val="true"/>
          </w:rPr>
          <w:t>'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מיל אלייב </w:t>
        </w:r>
      </w:hyperlink>
      <w:r>
        <w:rPr>
          <w:b/>
          <w:b/>
          <w:bCs/>
          <w:rtl w:val="true"/>
        </w:rPr>
        <w:t xml:space="preserve">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וכדלהלן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06" w:end="900"/>
        <w:jc w:val="both"/>
        <w:rPr>
          <w:rStyle w:val="Hyperlink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 לכחד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קשת הענישה רחבה היא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וכמעט אין לך תחום שלא תמצא בו עונשים חמורים יותר וקלים 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פי הזמן והמקום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השאיפה לאחידות הענישה היא עקרונית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 אינה יכולה להיות מושגת כענין מתמטי במציאות האנושית</w:t>
      </w:r>
      <w:r>
        <w:rPr>
          <w:rtl w:val="true"/>
        </w:rPr>
        <w:t>".</w:t>
      </w:r>
    </w:p>
    <w:p>
      <w:pPr>
        <w:pStyle w:val="Normal"/>
        <w:spacing w:lineRule="auto" w:line="360"/>
        <w:ind w:start="1106" w:end="900"/>
        <w:jc w:val="both"/>
        <w:rPr>
          <w:rStyle w:val="Hyperlink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בשל כך אפוא</w:t>
      </w:r>
      <w:r>
        <w:rPr>
          <w:rtl w:val="true"/>
        </w:rPr>
        <w:t xml:space="preserve">, </w:t>
      </w:r>
      <w:r>
        <w:rPr>
          <w:rtl w:val="true"/>
        </w:rPr>
        <w:t>קו הענישה אותה הציג בפנינו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יכולה להוות אבן דרך בלבד באשר לענישה הנכונה בתיק זה</w:t>
      </w:r>
      <w:r>
        <w:rPr>
          <w:rtl w:val="true"/>
        </w:rPr>
        <w:t xml:space="preserve">, </w:t>
      </w:r>
      <w:r>
        <w:rPr>
          <w:rtl w:val="true"/>
        </w:rPr>
        <w:t>זאת לצד שיקולים כבדי משקל אחרים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הייחודיים</w:t>
      </w:r>
      <w:r>
        <w:rPr>
          <w:rtl w:val="true"/>
        </w:rPr>
        <w:t xml:space="preserve"> לתיק זה וכמפורט בגזר דין זה והמבדילים אותו </w:t>
      </w:r>
      <w:r>
        <w:rPr>
          <w:u w:val="single"/>
          <w:rtl w:val="true"/>
        </w:rPr>
        <w:t>מהותית</w:t>
      </w:r>
      <w:r>
        <w:rPr>
          <w:rtl w:val="true"/>
        </w:rPr>
        <w:t xml:space="preserve"> מאותם מקרים שנמנו כמשקפים את קו הענישה בעבירות מהסוג שבפנינו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עוד נוסיף ונאמר כי</w:t>
      </w:r>
      <w:r>
        <w:rPr>
          <w:rtl w:val="true"/>
        </w:rPr>
        <w:t xml:space="preserve">, </w:t>
      </w:r>
      <w:r>
        <w:rPr>
          <w:rtl w:val="true"/>
        </w:rPr>
        <w:t xml:space="preserve">בהתאם להוראת </w:t>
      </w:r>
      <w:hyperlink r:id="rId1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שבהעדר הוראה אחרת</w:t>
      </w:r>
      <w:r>
        <w:rPr>
          <w:rtl w:val="true"/>
        </w:rPr>
        <w:t xml:space="preserve">, </w:t>
      </w:r>
      <w:r>
        <w:rPr>
          <w:rtl w:val="true"/>
        </w:rPr>
        <w:t>עונש שיושת על נאשם בטרם סיים לרצות את מאסרו הקודם</w:t>
      </w:r>
      <w:r>
        <w:rPr>
          <w:rtl w:val="true"/>
        </w:rPr>
        <w:t xml:space="preserve">, </w:t>
      </w:r>
      <w:r>
        <w:rPr>
          <w:rtl w:val="true"/>
        </w:rPr>
        <w:t>יוטל באופן שהנאשם ירצה רק את עונש המאסר של התקופה הארוכה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ההנמקה לכך ניתנה 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hyperlink r:id="rId19">
        <w:r>
          <w:rPr>
            <w:rStyle w:val="Hyperlink"/>
            <w:color w:val="0000FF"/>
            <w:u w:val="single"/>
          </w:rPr>
          <w:t>237/08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u w:val="single"/>
          <w:rtl w:val="true"/>
        </w:rPr>
        <w:t>חאלד קורטאם</w:t>
      </w:r>
      <w:r>
        <w:rPr>
          <w:rtl w:val="true"/>
        </w:rPr>
        <w:t xml:space="preserve"> ושם נאמר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 xml:space="preserve">רצה המחוקק לאפשר לו בדרך כלל לכפר על עוונותיו על ידי ריצוי עונש אחד ויחיד </w:t>
      </w:r>
      <w:r>
        <w:rPr>
          <w:b/>
          <w:bCs/>
          <w:rtl w:val="true"/>
        </w:rPr>
        <w:t>...".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ראה לעניין זה ב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9059/03</w:t>
        </w:r>
      </w:hyperlink>
      <w:r>
        <w:rPr>
          <w:rtl w:val="true"/>
        </w:rPr>
        <w:t xml:space="preserve"> </w:t>
      </w:r>
      <w:r>
        <w:rPr>
          <w:rtl w:val="true"/>
        </w:rPr>
        <w:t>דברים שנאמרו על ידי השופטת ד</w:t>
      </w:r>
      <w:r>
        <w:rPr>
          <w:rtl w:val="true"/>
        </w:rPr>
        <w:t xml:space="preserve">. </w:t>
      </w:r>
      <w:r>
        <w:rPr>
          <w:rtl w:val="true"/>
        </w:rPr>
        <w:t xml:space="preserve">בייניש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tl w:val="true"/>
        </w:rPr>
        <w:t>וכדלהלן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1106" w:end="90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הכלל האמור מבוסס על ההיבט האנושי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ההומני שיש בנקיטת מידה של חסד עם הנאשם והותרת פתח של תקווה לחופש ולחיים חדשים כחלק מההכרה בערכו האנושי של כל אדם באשר הוא 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ריצוי העונשים בחופף אף מבוסס על התחשבות בשיקולי שיקום האסיר לשם השתלבותו מחדש בחברה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לעומת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החריג בדבר ריצוי העונשים במצטבר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 xml:space="preserve">באופן מלא או חלקי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מבוסס על האינטרס החברתי במיצוי הדין עם נאשם שהורשע במספר עבירות חמורות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 מתן משקל הולם במקרים מתאימים לשיקולי גמול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מניעה והרתעה עקב חומרת העבירות ונסיבות ביצוען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גזירת עונשים מצטברים באופן השולל את חירותו של הנאשם לתקופה ארוכה 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מבטאת את היותם של מעשיו נפרדים ועצמאיים לצורך 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ויש בה כדי להדגיש את חומרת המעשים ואת הסלידה החברתית מביצועם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דברי השופטת פרוקצ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יה ב</w:t>
      </w:r>
      <w:hyperlink r:id="rId2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5329/98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אני 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פיסקה </w:t>
      </w:r>
      <w:r>
        <w:rPr>
          <w:b/>
          <w:bCs/>
        </w:rPr>
        <w:t>7</w:t>
      </w:r>
      <w:r>
        <w:rPr>
          <w:b/>
          <w:bCs/>
          <w:rtl w:val="true"/>
        </w:rPr>
        <w:t>)".</w:t>
      </w:r>
    </w:p>
    <w:p>
      <w:pPr>
        <w:pStyle w:val="Normal"/>
        <w:spacing w:lineRule="auto" w:line="360"/>
        <w:ind w:hanging="386" w:start="1106" w:end="90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 ראה שם באשר לשיקול הראוי בדרך ריצוי העונשים</w:t>
      </w:r>
      <w:r>
        <w:rPr>
          <w:rtl w:val="true"/>
        </w:rPr>
        <w:t xml:space="preserve">, </w:t>
      </w:r>
      <w:r>
        <w:rPr>
          <w:rtl w:val="true"/>
        </w:rPr>
        <w:t>וכדלהלן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06" w:end="900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שיקול נוסף בו יתחשב 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 בבואו לקבוע את אופן ריצוי העונשים נוגע לעוצמת הזיקה המתקיימת בין המעשים השונים בגינם הורשע 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כאשר מדובר במעשים שזיקתם הדוקה והם כרוכים זה בזה עד כדי היותם מסכת עובדתית 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עשוי הדבר לתמוך בענישה חופפת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לעומת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 מדובר בעבירות עצמאיות המובחנות זו מזו אף אם הן חלק מאותה מסכת עובדתית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עשוי הדבר להטות את הכף לטובת ענישה מצטברת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מלאה או חלקית</w:t>
      </w:r>
      <w:r>
        <w:rPr>
          <w:b/>
          <w:bCs/>
          <w:rtl w:val="true"/>
        </w:rPr>
        <w:t>. 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color w:val="000000"/>
          <w:rtl w:val="true"/>
        </w:rPr>
        <w:t>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פ </w:t>
      </w:r>
      <w:r>
        <w:rPr>
          <w:b/>
          <w:bCs/>
          <w:color w:val="000000"/>
        </w:rPr>
        <w:t>7075/03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טרם פורסם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 xml:space="preserve">בפסיקה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דינו של השופט לוי והאסמכתאות המובאות שם</w:t>
      </w:r>
      <w:r>
        <w:rPr>
          <w:b/>
          <w:bCs/>
          <w:rtl w:val="true"/>
        </w:rPr>
        <w:t xml:space="preserve">). </w:t>
      </w:r>
    </w:p>
    <w:p>
      <w:pPr>
        <w:pStyle w:val="Normal"/>
        <w:spacing w:lineRule="auto" w:line="360"/>
        <w:ind w:start="1106" w:end="900"/>
        <w:jc w:val="both"/>
        <w:rPr>
          <w:b/>
          <w:bCs/>
        </w:rPr>
      </w:pPr>
      <w:r>
        <w:rPr>
          <w:b/>
          <w:b/>
          <w:bCs/>
          <w:rtl w:val="true"/>
        </w:rPr>
        <w:t>עוד ישקול 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 את נסיבותיו האישיות של 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גילו הצעיר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העדר עבר 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קיומה של הודיה במעשים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הבעת חרטה כנה על ביצועם וכן מצוקה קשה במיוחד ממנה סבל הנאשם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 xml:space="preserve">כל אלה עשויים לתמוך בכלל בדבר ענישה חופפת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hyperlink r:id="rId2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4063/93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רחמנוב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 פורסם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 xml:space="preserve">בפסיקה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דינו של השופט קדמי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וכן</w:t>
      </w:r>
      <w:r>
        <w:rPr>
          <w:b/>
          <w:bCs/>
          <w:rtl w:val="true"/>
        </w:rPr>
        <w:t xml:space="preserve">: </w:t>
      </w:r>
      <w:hyperlink r:id="rId2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5329/98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אני 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בפיסקה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דינה של השופטת פרוקצ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יה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בסופה של דרך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אופן ריצוי העונש לשקף את האיזון המידתי והראוי בנסיבות העניין הקונקרטי בין מכלול השיקולים עליהם עמדנו לעיל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נשוב אפוא לדרך הלוכנו ונסקור את השיקולים לחומרה ולקולא בעניינו של הנאשם שבפנינו</w:t>
      </w:r>
      <w:r>
        <w:rPr>
          <w:rtl w:val="true"/>
        </w:rPr>
        <w:t xml:space="preserve">, </w:t>
      </w:r>
      <w:r>
        <w:rPr>
          <w:rtl w:val="true"/>
        </w:rPr>
        <w:t>תוך שנקדים את שכבר רמזנו לו לעיל</w:t>
      </w:r>
      <w:r>
        <w:rPr>
          <w:rtl w:val="true"/>
        </w:rPr>
        <w:t xml:space="preserve">, </w:t>
      </w:r>
      <w:r>
        <w:rPr>
          <w:rtl w:val="true"/>
        </w:rPr>
        <w:t>כי בנסיבותיו המיוחדות של תיק זה</w:t>
      </w:r>
      <w:r>
        <w:rPr>
          <w:rtl w:val="true"/>
        </w:rPr>
        <w:t xml:space="preserve">, </w:t>
      </w:r>
      <w:r>
        <w:rPr>
          <w:rtl w:val="true"/>
        </w:rPr>
        <w:t>דומה עלינו</w:t>
      </w:r>
      <w:r>
        <w:rPr>
          <w:rtl w:val="true"/>
        </w:rPr>
        <w:t xml:space="preserve">, </w:t>
      </w:r>
      <w:r>
        <w:rPr>
          <w:rtl w:val="true"/>
        </w:rPr>
        <w:t>כי לשיקולים לקולא ולשיקולי השיקום</w:t>
      </w:r>
      <w:r>
        <w:rPr>
          <w:rtl w:val="true"/>
        </w:rPr>
        <w:t xml:space="preserve">, </w:t>
      </w:r>
      <w:r>
        <w:rPr>
          <w:rtl w:val="true"/>
        </w:rPr>
        <w:t>הבכורה בתיק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בצד השיקולים לחומרה</w:t>
      </w:r>
      <w:r>
        <w:rPr>
          <w:rtl w:val="true"/>
        </w:rPr>
        <w:t xml:space="preserve">, </w:t>
      </w:r>
      <w:r>
        <w:rPr>
          <w:rtl w:val="true"/>
        </w:rPr>
        <w:t>יש למנות את מעשיו החמורים של הנאשם</w:t>
      </w:r>
      <w:r>
        <w:rPr>
          <w:rtl w:val="true"/>
        </w:rPr>
        <w:t xml:space="preserve">, </w:t>
      </w:r>
      <w:r>
        <w:rPr>
          <w:rtl w:val="true"/>
        </w:rPr>
        <w:t>אשר גרמו אכן</w:t>
      </w:r>
      <w:r>
        <w:rPr>
          <w:rtl w:val="true"/>
        </w:rPr>
        <w:t xml:space="preserve">, </w:t>
      </w:r>
      <w:r>
        <w:rPr>
          <w:rtl w:val="true"/>
        </w:rPr>
        <w:t>לגליקרוב</w:t>
      </w:r>
      <w:r>
        <w:rPr>
          <w:rtl w:val="true"/>
        </w:rPr>
        <w:t xml:space="preserve">, </w:t>
      </w:r>
      <w:r>
        <w:rPr>
          <w:rtl w:val="true"/>
        </w:rPr>
        <w:t>חבלות של ממש עד כדי כריתת איברים בגופו</w:t>
      </w:r>
      <w:r>
        <w:rPr>
          <w:rtl w:val="true"/>
        </w:rPr>
        <w:t xml:space="preserve">. </w:t>
      </w:r>
      <w:r>
        <w:rPr>
          <w:rtl w:val="true"/>
        </w:rPr>
        <w:t>למעשים אלו</w:t>
      </w:r>
      <w:r>
        <w:rPr>
          <w:rtl w:val="true"/>
        </w:rPr>
        <w:t xml:space="preserve">, </w:t>
      </w:r>
      <w:r>
        <w:rPr>
          <w:rtl w:val="true"/>
        </w:rPr>
        <w:t>יש להוסיף</w:t>
      </w:r>
      <w:r>
        <w:rPr>
          <w:rtl w:val="true"/>
        </w:rPr>
        <w:t xml:space="preserve">, </w:t>
      </w:r>
      <w:r>
        <w:rPr>
          <w:rtl w:val="true"/>
        </w:rPr>
        <w:t>את מעשיו של הנאשם להדחת עדים ולשיבוש מהלכי משפט</w:t>
      </w:r>
      <w:r>
        <w:rPr>
          <w:rtl w:val="true"/>
        </w:rPr>
        <w:t xml:space="preserve">, </w:t>
      </w:r>
      <w:r>
        <w:rPr>
          <w:rtl w:val="true"/>
        </w:rPr>
        <w:t>אשר אף אלו הן עבירות חמורות בהיותן חותרות תחת אושיות המשפט והחברה</w:t>
      </w:r>
      <w:r>
        <w:rPr>
          <w:rtl w:val="true"/>
        </w:rPr>
        <w:t xml:space="preserve">. </w:t>
      </w:r>
      <w:r>
        <w:rPr>
          <w:rtl w:val="true"/>
        </w:rPr>
        <w:t>עוד בצד השיקולים לחומרה</w:t>
      </w:r>
      <w:r>
        <w:rPr>
          <w:rtl w:val="true"/>
        </w:rPr>
        <w:t xml:space="preserve">, </w:t>
      </w:r>
      <w:r>
        <w:rPr>
          <w:rtl w:val="true"/>
        </w:rPr>
        <w:t>יש להפנות לעברו הפלילי המכביד של הנאשם</w:t>
      </w:r>
      <w:r>
        <w:rPr>
          <w:rtl w:val="true"/>
        </w:rPr>
        <w:t xml:space="preserve">, </w:t>
      </w:r>
      <w:r>
        <w:rPr>
          <w:rtl w:val="true"/>
        </w:rPr>
        <w:t>אשר מגיל צעיר</w:t>
      </w:r>
      <w:r>
        <w:rPr>
          <w:rtl w:val="true"/>
        </w:rPr>
        <w:t xml:space="preserve">, </w:t>
      </w:r>
      <w:r>
        <w:rPr>
          <w:rtl w:val="true"/>
        </w:rPr>
        <w:t>מצא עצמו בעולם הפשע</w:t>
      </w:r>
      <w:r>
        <w:rPr>
          <w:rtl w:val="true"/>
        </w:rPr>
        <w:t xml:space="preserve">, </w:t>
      </w:r>
      <w:r>
        <w:rPr>
          <w:rtl w:val="true"/>
        </w:rPr>
        <w:t>ואשר עמד עשרות פעמים בפני בתי משפט בעבירות שונות ומשונות</w:t>
      </w:r>
      <w:r>
        <w:rPr>
          <w:rtl w:val="true"/>
        </w:rPr>
        <w:t xml:space="preserve">, </w:t>
      </w:r>
      <w:r>
        <w:rPr>
          <w:rtl w:val="true"/>
        </w:rPr>
        <w:t xml:space="preserve">שהחמורות בהן היו אלה שתי האחרונות </w:t>
      </w:r>
      <w:r>
        <w:rPr>
          <w:rtl w:val="true"/>
        </w:rPr>
        <w:t>(</w:t>
      </w:r>
      <w:r>
        <w:rPr>
          <w:rtl w:val="true"/>
        </w:rPr>
        <w:t>לבד מכתב אישום זה</w:t>
      </w:r>
      <w:r>
        <w:rPr>
          <w:rtl w:val="true"/>
        </w:rPr>
        <w:t xml:space="preserve">) </w:t>
      </w:r>
      <w:r>
        <w:rPr>
          <w:rtl w:val="true"/>
        </w:rPr>
        <w:t>של סיוע לרצח</w:t>
      </w:r>
      <w:r>
        <w:rPr>
          <w:rtl w:val="true"/>
        </w:rPr>
        <w:t xml:space="preserve">, </w:t>
      </w:r>
      <w:r>
        <w:rPr>
          <w:rtl w:val="true"/>
        </w:rPr>
        <w:t xml:space="preserve">ועבירה של שוד מזוין </w:t>
      </w:r>
      <w:r>
        <w:rPr>
          <w:rtl w:val="true"/>
        </w:rPr>
        <w:t>(</w:t>
      </w:r>
      <w:r>
        <w:rPr/>
        <w:t>160/91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מאידך ובמסגרת השיקולים לקולא</w:t>
      </w:r>
      <w:r>
        <w:rPr>
          <w:rtl w:val="true"/>
        </w:rPr>
        <w:t xml:space="preserve">, </w:t>
      </w:r>
      <w:r>
        <w:rPr>
          <w:rtl w:val="true"/>
        </w:rPr>
        <w:t>יש לשקול בעיקר</w:t>
      </w:r>
      <w:r>
        <w:rPr>
          <w:rtl w:val="true"/>
        </w:rPr>
        <w:t xml:space="preserve">, </w:t>
      </w:r>
      <w:r>
        <w:rPr>
          <w:rtl w:val="true"/>
        </w:rPr>
        <w:t>כך לטעמנו</w:t>
      </w:r>
      <w:r>
        <w:rPr>
          <w:rtl w:val="true"/>
        </w:rPr>
        <w:t xml:space="preserve">, </w:t>
      </w:r>
      <w:r>
        <w:rPr>
          <w:rtl w:val="true"/>
        </w:rPr>
        <w:t>את עובדת חלוף הזמן הארוך והמשמעותי שמאז ביצוען של העבירות ועד עתה</w:t>
      </w:r>
      <w:r>
        <w:rPr>
          <w:rtl w:val="true"/>
        </w:rPr>
        <w:t xml:space="preserve">, </w:t>
      </w:r>
      <w:r>
        <w:rPr>
          <w:rtl w:val="true"/>
        </w:rPr>
        <w:t>או למצער</w:t>
      </w:r>
      <w:r>
        <w:rPr>
          <w:rtl w:val="true"/>
        </w:rPr>
        <w:t xml:space="preserve">, </w:t>
      </w:r>
      <w:r>
        <w:rPr>
          <w:rtl w:val="true"/>
        </w:rPr>
        <w:t xml:space="preserve">עד המועד בו הוגש כתב האישום המקורי בתיק </w:t>
      </w:r>
      <w:r>
        <w:rPr>
          <w:rtl w:val="true"/>
        </w:rPr>
        <w:t>(</w:t>
      </w:r>
      <w:r>
        <w:rPr/>
        <w:t>13.10.09</w:t>
      </w:r>
      <w:r>
        <w:rPr>
          <w:rtl w:val="true"/>
        </w:rPr>
        <w:t xml:space="preserve">), </w:t>
      </w:r>
      <w:r>
        <w:rPr>
          <w:rtl w:val="true"/>
        </w:rPr>
        <w:t xml:space="preserve">והכל ביחס לעבירות שבוצעו ביום </w:t>
      </w:r>
      <w:r>
        <w:rPr/>
        <w:t>6.6.01</w:t>
      </w:r>
      <w:r>
        <w:rPr>
          <w:rtl w:val="true"/>
        </w:rPr>
        <w:t xml:space="preserve"> (!).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חלוף הזמן בענייננו יש בו גם להקהות מהותית</w:t>
      </w:r>
      <w:r>
        <w:rPr>
          <w:rtl w:val="true"/>
        </w:rPr>
        <w:t xml:space="preserve">, </w:t>
      </w:r>
      <w:r>
        <w:rPr>
          <w:rtl w:val="true"/>
        </w:rPr>
        <w:t>את שיקולי ההרתעה והגמול</w:t>
      </w:r>
      <w:r>
        <w:rPr>
          <w:rtl w:val="true"/>
        </w:rPr>
        <w:t xml:space="preserve">, </w:t>
      </w:r>
      <w:r>
        <w:rPr>
          <w:rtl w:val="true"/>
        </w:rPr>
        <w:t>ובפרט שעה שאת עיקר התקופה שחלפה</w:t>
      </w:r>
      <w:r>
        <w:rPr>
          <w:rtl w:val="true"/>
        </w:rPr>
        <w:t xml:space="preserve">, </w:t>
      </w:r>
      <w:r>
        <w:rPr>
          <w:rtl w:val="true"/>
        </w:rPr>
        <w:t>בילה הנאשם ממילא מאחורי סורג 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 אם לא ניתן לקבוע כי חלוף זמן זה רובץ לפתחו של צד זה או אחר</w:t>
      </w:r>
      <w:r>
        <w:rPr>
          <w:rtl w:val="true"/>
        </w:rPr>
        <w:t xml:space="preserve">, </w:t>
      </w:r>
      <w:r>
        <w:rPr>
          <w:rtl w:val="true"/>
        </w:rPr>
        <w:t>הרי שברור שחלוף זמן זה</w:t>
      </w:r>
      <w:r>
        <w:rPr>
          <w:rtl w:val="true"/>
        </w:rPr>
        <w:t xml:space="preserve">, </w:t>
      </w:r>
      <w:r>
        <w:rPr>
          <w:rtl w:val="true"/>
        </w:rPr>
        <w:t>פגע בנאשם פגיעה של ממש</w:t>
      </w:r>
      <w:r>
        <w:rPr>
          <w:rtl w:val="true"/>
        </w:rPr>
        <w:t xml:space="preserve">, </w:t>
      </w:r>
      <w:r>
        <w:rPr>
          <w:rtl w:val="true"/>
        </w:rPr>
        <w:t>שהרי הנאשם היה במועד בו</w:t>
      </w:r>
      <w:r>
        <w:rPr>
          <w:rtl w:val="true"/>
        </w:rPr>
        <w:t xml:space="preserve">, </w:t>
      </w:r>
      <w:r>
        <w:rPr>
          <w:rtl w:val="true"/>
        </w:rPr>
        <w:t>סוף סוף</w:t>
      </w:r>
      <w:r>
        <w:rPr>
          <w:rtl w:val="true"/>
        </w:rPr>
        <w:t xml:space="preserve">, </w:t>
      </w:r>
      <w:r>
        <w:rPr>
          <w:rtl w:val="true"/>
        </w:rPr>
        <w:t>הותר לו לצאת מהכלא לחופשות ובפני האפשרות שעניינו יובא</w:t>
      </w:r>
      <w:r>
        <w:rPr>
          <w:rtl w:val="true"/>
        </w:rPr>
        <w:t xml:space="preserve">, </w:t>
      </w:r>
      <w:r>
        <w:rPr>
          <w:rtl w:val="true"/>
        </w:rPr>
        <w:t>בפני וועדת שחרורים</w:t>
      </w:r>
      <w:r>
        <w:rPr>
          <w:rtl w:val="true"/>
        </w:rPr>
        <w:t xml:space="preserve">, </w:t>
      </w:r>
      <w:r>
        <w:rPr>
          <w:rtl w:val="true"/>
        </w:rPr>
        <w:t>וכל זה נגדע עקב הגשתו המאוחרת של כתב 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נדגיש שוב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שהה במעצר של ממש בגין החקירה בשנת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בתיק זה</w:t>
      </w:r>
      <w:r>
        <w:rPr>
          <w:rtl w:val="true"/>
        </w:rPr>
        <w:t xml:space="preserve">, </w:t>
      </w:r>
      <w:r>
        <w:rPr>
          <w:rtl w:val="true"/>
        </w:rPr>
        <w:t>לתקופה של כחודש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הקושי הראייתי הגדול עליו הצביע ב</w:t>
      </w:r>
      <w:r>
        <w:rPr>
          <w:rtl w:val="true"/>
        </w:rPr>
        <w:t>"</w:t>
      </w:r>
      <w:r>
        <w:rPr>
          <w:rtl w:val="true"/>
        </w:rPr>
        <w:t>כ הנאשם וכמפורט לעיל</w:t>
      </w:r>
      <w:r>
        <w:rPr>
          <w:rtl w:val="true"/>
        </w:rPr>
        <w:t xml:space="preserve">, </w:t>
      </w:r>
      <w:r>
        <w:rPr>
          <w:rtl w:val="true"/>
        </w:rPr>
        <w:t>גם בו יש משום הטיית הכף באופן ניכר</w:t>
      </w:r>
      <w:r>
        <w:rPr>
          <w:rtl w:val="true"/>
        </w:rPr>
        <w:t xml:space="preserve">, </w:t>
      </w:r>
      <w:r>
        <w:rPr>
          <w:rtl w:val="true"/>
        </w:rPr>
        <w:t>לזכותו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על כל אלה יש להוסיף את הבעת החרטה ובקשת הסליחה של הנאשם כמו גם</w:t>
      </w:r>
      <w:r>
        <w:rPr>
          <w:rtl w:val="true"/>
        </w:rPr>
        <w:t xml:space="preserve">, </w:t>
      </w:r>
      <w:r>
        <w:rPr>
          <w:rtl w:val="true"/>
        </w:rPr>
        <w:t>את הודאתו בעבירות נשוא כתב האישום 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הודייתו של הנאשם באה רק לאחר עדותו וחקירתו של עד המדינה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מאידך ואולי גם בעקבות עדות זו</w:t>
      </w:r>
      <w:r>
        <w:rPr>
          <w:rtl w:val="true"/>
        </w:rPr>
        <w:t xml:space="preserve">,  </w:t>
      </w:r>
      <w:r>
        <w:rPr>
          <w:rtl w:val="true"/>
        </w:rPr>
        <w:t>תוקן כתב האישום באופן משמעותי</w:t>
      </w:r>
      <w:r>
        <w:rPr>
          <w:rtl w:val="true"/>
        </w:rPr>
        <w:t xml:space="preserve">, </w:t>
      </w:r>
      <w:r>
        <w:rPr>
          <w:rtl w:val="true"/>
        </w:rPr>
        <w:t>אשר איפשר לנאשם להודות בו</w:t>
      </w:r>
      <w:r>
        <w:rPr>
          <w:rtl w:val="true"/>
        </w:rPr>
        <w:t xml:space="preserve">. </w:t>
      </w:r>
      <w:r>
        <w:rPr>
          <w:rtl w:val="true"/>
        </w:rPr>
        <w:t>לא נעלמה מעינינו טענתו של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אשר הופנתה לדברי הנאשם בטיעוניו לעונש</w:t>
      </w:r>
      <w:r>
        <w:rPr>
          <w:rtl w:val="true"/>
        </w:rPr>
        <w:t xml:space="preserve">, </w:t>
      </w:r>
      <w:r>
        <w:rPr>
          <w:rtl w:val="true"/>
        </w:rPr>
        <w:t>נשוא גזר הדין ב</w:t>
      </w:r>
      <w:r>
        <w:rPr>
          <w:color w:val="000000"/>
          <w:rtl w:val="true"/>
        </w:rPr>
        <w:t xml:space="preserve">תיק פלילי </w:t>
      </w:r>
      <w:r>
        <w:rPr>
          <w:color w:val="000000"/>
        </w:rPr>
        <w:t>160/91</w:t>
      </w:r>
      <w:r>
        <w:rPr>
          <w:rtl w:val="true"/>
        </w:rPr>
        <w:t xml:space="preserve">, </w:t>
      </w:r>
      <w:r>
        <w:rPr>
          <w:rtl w:val="true"/>
        </w:rPr>
        <w:t xml:space="preserve">אשר גם שם טען הנאשם </w:t>
      </w:r>
      <w:r>
        <w:rPr>
          <w:rtl w:val="true"/>
        </w:rPr>
        <w:t>"</w:t>
      </w:r>
      <w:r>
        <w:rPr>
          <w:b/>
          <w:b/>
          <w:bCs/>
          <w:rtl w:val="true"/>
        </w:rPr>
        <w:t>כי היו לו שיחות מעמיקות עם עובד סוציאלי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וכי כדבריו שם </w:t>
      </w:r>
      <w:r>
        <w:rPr>
          <w:rtl w:val="true"/>
        </w:rPr>
        <w:t>"</w:t>
      </w:r>
      <w:r>
        <w:rPr>
          <w:b/>
          <w:b/>
          <w:bCs/>
          <w:rtl w:val="true"/>
        </w:rPr>
        <w:t>היום יש לי את הרצון החזק להשתקם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טיעונים לעונש בפרוטוקול גזר הדין מיום </w:t>
      </w:r>
      <w:r>
        <w:rPr/>
        <w:t>10.7.91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160/91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אלא שבכל אופן</w:t>
      </w:r>
      <w:r>
        <w:rPr>
          <w:rtl w:val="true"/>
        </w:rPr>
        <w:t xml:space="preserve">, </w:t>
      </w:r>
      <w:r>
        <w:rPr>
          <w:rtl w:val="true"/>
        </w:rPr>
        <w:t>דומה בעינינו וכך אנו תקווה</w:t>
      </w:r>
      <w:r>
        <w:rPr>
          <w:rtl w:val="true"/>
        </w:rPr>
        <w:t xml:space="preserve">, </w:t>
      </w:r>
      <w:r>
        <w:rPr>
          <w:rtl w:val="true"/>
        </w:rPr>
        <w:t>כי בזאת הפעם</w:t>
      </w:r>
      <w:r>
        <w:rPr>
          <w:rtl w:val="true"/>
        </w:rPr>
        <w:t xml:space="preserve">, </w:t>
      </w:r>
      <w:r>
        <w:rPr>
          <w:rtl w:val="true"/>
        </w:rPr>
        <w:t>חרטתו של הנאשם כנה ואמיתית וכוונותיו אשר אף באו לידי ביטוי מעשי במהלך השנים האחרונות בכלא</w:t>
      </w:r>
      <w:r>
        <w:rPr>
          <w:rtl w:val="true"/>
        </w:rPr>
        <w:t xml:space="preserve">, </w:t>
      </w:r>
      <w:r>
        <w:rPr>
          <w:rtl w:val="true"/>
        </w:rPr>
        <w:t>באשר לרצונו להשתקם אינן רק מן השפה ולחוץ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יש לזכור</w:t>
      </w:r>
      <w:r>
        <w:rPr>
          <w:rtl w:val="true"/>
        </w:rPr>
        <w:t xml:space="preserve">, </w:t>
      </w:r>
      <w:r>
        <w:rPr>
          <w:rtl w:val="true"/>
        </w:rPr>
        <w:t>כי בין לבין</w:t>
      </w:r>
      <w:r>
        <w:rPr>
          <w:rtl w:val="true"/>
        </w:rPr>
        <w:t xml:space="preserve">, </w:t>
      </w:r>
      <w:r>
        <w:rPr>
          <w:rtl w:val="true"/>
        </w:rPr>
        <w:t>הקים הנאשם משפחה</w:t>
      </w:r>
      <w:r>
        <w:rPr>
          <w:rtl w:val="true"/>
        </w:rPr>
        <w:t xml:space="preserve">, </w:t>
      </w:r>
      <w:r>
        <w:rPr>
          <w:rtl w:val="true"/>
        </w:rPr>
        <w:t>ואף נולד לו בן</w:t>
      </w:r>
      <w:r>
        <w:rPr>
          <w:rtl w:val="true"/>
        </w:rPr>
        <w:t xml:space="preserve">. </w:t>
      </w:r>
      <w:r>
        <w:rPr>
          <w:rtl w:val="true"/>
        </w:rPr>
        <w:t>יש לזכור</w:t>
      </w:r>
      <w:r>
        <w:rPr>
          <w:rtl w:val="true"/>
        </w:rPr>
        <w:t xml:space="preserve">, </w:t>
      </w:r>
      <w:r>
        <w:rPr>
          <w:rtl w:val="true"/>
        </w:rPr>
        <w:t xml:space="preserve">כי אז היה הנאשם כבן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 xml:space="preserve">והיום הנאשם כבן </w:t>
      </w:r>
      <w:r>
        <w:rPr/>
        <w:t>45</w:t>
      </w:r>
      <w:r>
        <w:rPr>
          <w:rtl w:val="true"/>
        </w:rPr>
        <w:t xml:space="preserve">. </w:t>
      </w:r>
      <w:r>
        <w:rPr>
          <w:rtl w:val="true"/>
        </w:rPr>
        <w:t>חלוף השנים</w:t>
      </w:r>
      <w:r>
        <w:rPr>
          <w:rtl w:val="true"/>
        </w:rPr>
        <w:t xml:space="preserve">, </w:t>
      </w:r>
      <w:r>
        <w:rPr>
          <w:rtl w:val="true"/>
        </w:rPr>
        <w:t>כמו גם גילו הנוכחי של הנאשם</w:t>
      </w:r>
      <w:r>
        <w:rPr>
          <w:rtl w:val="true"/>
        </w:rPr>
        <w:t xml:space="preserve">, </w:t>
      </w:r>
      <w:r>
        <w:rPr>
          <w:rtl w:val="true"/>
        </w:rPr>
        <w:t>יש בו משום תקווה</w:t>
      </w:r>
      <w:r>
        <w:rPr>
          <w:rtl w:val="true"/>
        </w:rPr>
        <w:t xml:space="preserve">, </w:t>
      </w:r>
      <w:r>
        <w:rPr>
          <w:rtl w:val="true"/>
        </w:rPr>
        <w:t>כי עתה משכיל הנאשם להבין</w:t>
      </w:r>
      <w:r>
        <w:rPr>
          <w:rtl w:val="true"/>
        </w:rPr>
        <w:t xml:space="preserve">, </w:t>
      </w:r>
      <w:r>
        <w:rPr>
          <w:rtl w:val="true"/>
        </w:rPr>
        <w:t>כי חייו עומדים לעבור עליו בעולם הפשע</w:t>
      </w:r>
      <w:r>
        <w:rPr>
          <w:rtl w:val="true"/>
        </w:rPr>
        <w:t xml:space="preserve">, </w:t>
      </w:r>
      <w:r>
        <w:rPr>
          <w:rtl w:val="true"/>
        </w:rPr>
        <w:t>ובין כותלי בית הכלא ואם לא יעשה שינוי של ממש באורחות חייו</w:t>
      </w:r>
      <w:r>
        <w:rPr>
          <w:rtl w:val="true"/>
        </w:rPr>
        <w:t xml:space="preserve">, </w:t>
      </w:r>
      <w:r>
        <w:rPr>
          <w:rtl w:val="true"/>
        </w:rPr>
        <w:t>עתיד הוא לסיים את חייו כפושע ובשולי החברה</w:t>
      </w:r>
      <w:r>
        <w:rPr>
          <w:rtl w:val="true"/>
        </w:rPr>
        <w:t xml:space="preserve">, </w:t>
      </w:r>
      <w:r>
        <w:rPr>
          <w:rtl w:val="true"/>
        </w:rPr>
        <w:t>מבלי יכולת לחיות חיי משפחה נורמטיבית ומבלי יכולת לגדל את בנו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עוד נוסיף ונאמר</w:t>
      </w:r>
      <w:r>
        <w:rPr>
          <w:rtl w:val="true"/>
        </w:rPr>
        <w:t xml:space="preserve">, </w:t>
      </w:r>
      <w:r>
        <w:rPr>
          <w:rtl w:val="true"/>
        </w:rPr>
        <w:t>את שמוסכם על הצדדים</w:t>
      </w:r>
      <w:r>
        <w:rPr>
          <w:rtl w:val="true"/>
        </w:rPr>
        <w:t xml:space="preserve">, </w:t>
      </w:r>
      <w:r>
        <w:rPr>
          <w:rtl w:val="true"/>
        </w:rPr>
        <w:t>כי הנאשם נפגש בעולם הפשע</w:t>
      </w:r>
      <w:r>
        <w:rPr>
          <w:rtl w:val="true"/>
        </w:rPr>
        <w:t xml:space="preserve">, </w:t>
      </w:r>
      <w:r>
        <w:rPr>
          <w:rtl w:val="true"/>
        </w:rPr>
        <w:t xml:space="preserve">לראשונה בהיותו כבן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! </w:t>
      </w:r>
      <w:r>
        <w:rPr>
          <w:rtl w:val="true"/>
        </w:rPr>
        <w:t>ומאז</w:t>
      </w:r>
      <w:r>
        <w:rPr>
          <w:rtl w:val="true"/>
        </w:rPr>
        <w:t xml:space="preserve">, </w:t>
      </w:r>
      <w:r>
        <w:rPr>
          <w:rtl w:val="true"/>
        </w:rPr>
        <w:t>כדברי סנגורו</w:t>
      </w:r>
      <w:r>
        <w:rPr>
          <w:rtl w:val="true"/>
        </w:rPr>
        <w:t xml:space="preserve">, </w:t>
      </w:r>
      <w:r>
        <w:rPr>
          <w:rtl w:val="true"/>
        </w:rPr>
        <w:t xml:space="preserve">מתגלגל הוא במוסדות לעבריינים ובבתי הכלא ומאז שנת </w:t>
      </w:r>
      <w:r>
        <w:rPr/>
        <w:t>1994</w:t>
      </w:r>
      <w:r>
        <w:rPr>
          <w:rtl w:val="true"/>
        </w:rPr>
        <w:t xml:space="preserve"> </w:t>
      </w:r>
      <w:r>
        <w:rPr>
          <w:rtl w:val="true"/>
        </w:rPr>
        <w:t>וכמעט באופן רצוף</w:t>
      </w:r>
      <w:r>
        <w:rPr>
          <w:rtl w:val="true"/>
        </w:rPr>
        <w:t xml:space="preserve">, </w:t>
      </w:r>
      <w:r>
        <w:rPr>
          <w:rtl w:val="true"/>
        </w:rPr>
        <w:t>יושב הנאשם בכלא</w:t>
      </w:r>
      <w:r>
        <w:rPr>
          <w:rtl w:val="true"/>
        </w:rPr>
        <w:t xml:space="preserve">, </w:t>
      </w:r>
      <w:r>
        <w:rPr>
          <w:rtl w:val="true"/>
        </w:rPr>
        <w:t>עד כדי כך שכשני שליש מחייו מצוי הוא מאחורי סורג 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רואה בעובדה זו  משום נסיבה לחומרה ואילו ב</w:t>
      </w:r>
      <w:r>
        <w:rPr>
          <w:rtl w:val="true"/>
        </w:rPr>
        <w:t>"</w:t>
      </w:r>
      <w:r>
        <w:rPr>
          <w:rtl w:val="true"/>
        </w:rPr>
        <w:t>כ הנאשם רואה בכך דווקא משום נסיבה 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מבלי להביע עמדה ערכית או להעדיף עמדה זו על חברתה</w:t>
      </w:r>
      <w:r>
        <w:rPr>
          <w:rtl w:val="true"/>
        </w:rPr>
        <w:t xml:space="preserve">, </w:t>
      </w:r>
      <w:r>
        <w:rPr>
          <w:rtl w:val="true"/>
        </w:rPr>
        <w:t>דומנו</w:t>
      </w:r>
      <w:r>
        <w:rPr>
          <w:rtl w:val="true"/>
        </w:rPr>
        <w:t xml:space="preserve">, </w:t>
      </w:r>
      <w:r>
        <w:rPr>
          <w:rtl w:val="true"/>
        </w:rPr>
        <w:t xml:space="preserve">כי הגיע העת והגיעה השעה לנקוט עם נאשם זה במידת הרחמים והחסד ולקוות שבזאת הפעם אכן יעמוד הנאשם בהבטחה שנתן בראש ובראשונה לעצמו וכדבריו </w:t>
      </w:r>
      <w:r>
        <w:rPr>
          <w:rtl w:val="true"/>
        </w:rPr>
        <w:t>"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 xml:space="preserve">זו פעם ראשונה בחיים שלי שהתחלתי בתהליך ואני רוצה לסיים אותו ואני מבקש הזדמנות 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יש לקוות שדווקא חבל ההצלה שמושיט לעברו</w:t>
      </w:r>
      <w:r>
        <w:rPr>
          <w:rtl w:val="true"/>
        </w:rPr>
        <w:t xml:space="preserve">, </w:t>
      </w:r>
      <w:r>
        <w:rPr>
          <w:rtl w:val="true"/>
        </w:rPr>
        <w:t>בזאת הפעם</w:t>
      </w:r>
      <w:r>
        <w:rPr>
          <w:rtl w:val="true"/>
        </w:rPr>
        <w:t xml:space="preserve">, </w:t>
      </w:r>
      <w:r>
        <w:rPr>
          <w:rtl w:val="true"/>
        </w:rPr>
        <w:t>בית המשפט יתרום ליציאתו של הנאשם מעולם הפשע ובכך יצא הוא נשכר ותהא גם החברה כולה נשכרת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סוף דבר אפוא ולאור מכלול הנסיבות אותן מנינו</w:t>
      </w:r>
      <w:r>
        <w:rPr>
          <w:rtl w:val="true"/>
        </w:rPr>
        <w:t xml:space="preserve">, </w:t>
      </w:r>
      <w:r>
        <w:rPr>
          <w:rtl w:val="true"/>
        </w:rPr>
        <w:t>ומבלי להקל ראש כהוא זה</w:t>
      </w:r>
      <w:r>
        <w:rPr>
          <w:rtl w:val="true"/>
        </w:rPr>
        <w:t xml:space="preserve">, </w:t>
      </w:r>
      <w:r>
        <w:rPr>
          <w:rtl w:val="true"/>
        </w:rPr>
        <w:t>במעשיו של הנאשם</w:t>
      </w:r>
      <w:r>
        <w:rPr>
          <w:rtl w:val="true"/>
        </w:rPr>
        <w:t xml:space="preserve">, </w:t>
      </w:r>
      <w:r>
        <w:rPr>
          <w:rtl w:val="true"/>
        </w:rPr>
        <w:t>בחרנו בזאת הפעם לילך בדרך הרחמים והשיקום התואמת כאמור את האינטרס הציבורי ולקוות כי אכן הנאשם יוכיח בעתיד</w:t>
      </w:r>
      <w:r>
        <w:rPr>
          <w:rtl w:val="true"/>
        </w:rPr>
        <w:t xml:space="preserve">, </w:t>
      </w:r>
      <w:r>
        <w:rPr>
          <w:rtl w:val="true"/>
        </w:rPr>
        <w:t>שהוא אכן ראוי היה לדרך המחילה והרחמים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אנו מאמצים את הסדר הטיעון באופן בו אנו גוזרים על הנאשם עונש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אשר כולל בתוכו את עונש המאסר המותנה נשוא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מחוזי נצרת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160/91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מתוך תקופה זו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בלבד ירוצו באופן מצטבר לעונש המאסר אותו מרצה הנאשם כעת</w:t>
      </w:r>
      <w:r>
        <w:rPr>
          <w:rtl w:val="true"/>
        </w:rPr>
        <w:t xml:space="preserve">, </w:t>
      </w:r>
      <w:r>
        <w:rPr>
          <w:rtl w:val="true"/>
        </w:rPr>
        <w:t>ואילו היתרה תרוצה באופן חופף לעונש המאסר אותו הוא מרצה כעת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משהסדר הטיעון המוסכם לא כלל עונשים נלווים</w:t>
      </w:r>
      <w:r>
        <w:rPr>
          <w:rtl w:val="true"/>
        </w:rPr>
        <w:t xml:space="preserve">, </w:t>
      </w:r>
      <w:r>
        <w:rPr>
          <w:rtl w:val="true"/>
        </w:rPr>
        <w:t>נמנעים אף אנו מהטלתם של עונשים 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ניתן והודע היום 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07/04/2011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תאופיק</w:t>
            </w:r>
            <w:r>
              <w:rPr>
                <w:rtl w:val="true"/>
              </w:rPr>
              <w:t xml:space="preserve">  </w:t>
            </w:r>
            <w:r>
              <w:rPr>
                <w:rFonts w:cs="FrankRuehl"/>
                <w:rtl w:val="true"/>
              </w:rPr>
              <w:t>כתילי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סגן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נשיא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אשר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קולה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דני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צרפתי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קארן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מגידס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149-09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יהודה אוחיון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normal-h">
    <w:name w:val="normal-h"/>
    <w:basedOn w:val="DefaultParagraphFont"/>
    <w:qFormat/>
    <w:rPr/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5.b" TargetMode="External"/><Relationship Id="rId4" Type="http://schemas.openxmlformats.org/officeDocument/2006/relationships/hyperlink" Target="http://www.nevo.co.il/law/70301/144.a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245.a" TargetMode="External"/><Relationship Id="rId7" Type="http://schemas.openxmlformats.org/officeDocument/2006/relationships/hyperlink" Target="http://www.nevo.co.il/law/70301/329" TargetMode="External"/><Relationship Id="rId8" Type="http://schemas.openxmlformats.org/officeDocument/2006/relationships/hyperlink" Target="http://www.nevo.co.il/law/70301/3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45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5815848" TargetMode="External"/><Relationship Id="rId17" Type="http://schemas.openxmlformats.org/officeDocument/2006/relationships/hyperlink" Target="http://www.nevo.co.il/law/70301/45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17943811" TargetMode="External"/><Relationship Id="rId20" Type="http://schemas.openxmlformats.org/officeDocument/2006/relationships/hyperlink" Target="http://www.nevo.co.il/case/6133254" TargetMode="External"/><Relationship Id="rId21" Type="http://schemas.openxmlformats.org/officeDocument/2006/relationships/hyperlink" Target="http://www.nevo.co.il/case/6006517" TargetMode="External"/><Relationship Id="rId22" Type="http://schemas.openxmlformats.org/officeDocument/2006/relationships/hyperlink" Target="http://www.nevo.co.il/case/17921936" TargetMode="External"/><Relationship Id="rId23" Type="http://schemas.openxmlformats.org/officeDocument/2006/relationships/hyperlink" Target="http://www.nevo.co.il/case/6006517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2016-05-03T11:17:00Z</dcterms:created>
  <dc:creator> </dc:creator>
  <dc:description/>
  <cp:keywords/>
  <dc:language>en-IL</dc:language>
  <cp:lastModifiedBy>hofit</cp:lastModifiedBy>
  <dcterms:modified xsi:type="dcterms:W3CDTF">2016-05-03T11:17:00Z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יהודה אוחיון</vt:lpwstr>
  </property>
  <property fmtid="{D5CDD505-2E9C-101B-9397-08002B2CF9AE}" pid="4" name="CASESLISTTMP1">
    <vt:lpwstr>5815848;6133254;6006517:2;17921936</vt:lpwstr>
  </property>
  <property fmtid="{D5CDD505-2E9C-101B-9397-08002B2CF9AE}" pid="5" name="CITY">
    <vt:lpwstr>נצ'</vt:lpwstr>
  </property>
  <property fmtid="{D5CDD505-2E9C-101B-9397-08002B2CF9AE}" pid="6" name="DATE">
    <vt:lpwstr>20110407</vt:lpwstr>
  </property>
  <property fmtid="{D5CDD505-2E9C-101B-9397-08002B2CF9AE}" pid="7" name="ISABSTRACT">
    <vt:lpwstr>Y</vt:lpwstr>
  </property>
  <property fmtid="{D5CDD505-2E9C-101B-9397-08002B2CF9AE}" pid="8" name="JUDGE">
    <vt:lpwstr>תאופיק כתילי;אשר קולה;דני צרפתי</vt:lpwstr>
  </property>
  <property fmtid="{D5CDD505-2E9C-101B-9397-08002B2CF9AE}" pid="9" name="LAWLISTTMP1">
    <vt:lpwstr>70301/329;144.a.b;245.a;244;045.b</vt:lpwstr>
  </property>
  <property fmtid="{D5CDD505-2E9C-101B-9397-08002B2CF9AE}" pid="10" name="LAWYER">
    <vt:lpwstr>אור לרנר;יובל זמר</vt:lpwstr>
  </property>
  <property fmtid="{D5CDD505-2E9C-101B-9397-08002B2CF9AE}" pid="11" name="NEWPARTA">
    <vt:lpwstr>149</vt:lpwstr>
  </property>
  <property fmtid="{D5CDD505-2E9C-101B-9397-08002B2CF9AE}" pid="12" name="NEWPARTB">
    <vt:lpwstr/>
  </property>
  <property fmtid="{D5CDD505-2E9C-101B-9397-08002B2CF9AE}" pid="13" name="NEWPARTC">
    <vt:lpwstr>09</vt:lpwstr>
  </property>
  <property fmtid="{D5CDD505-2E9C-101B-9397-08002B2CF9AE}" pid="14" name="NEWPROC">
    <vt:lpwstr>תפח</vt:lpwstr>
  </property>
  <property fmtid="{D5CDD505-2E9C-101B-9397-08002B2CF9AE}" pid="15" name="PROCNUM">
    <vt:lpwstr>149</vt:lpwstr>
  </property>
  <property fmtid="{D5CDD505-2E9C-101B-9397-08002B2CF9AE}" pid="16" name="PROCYEAR">
    <vt:lpwstr>09</vt:lpwstr>
  </property>
  <property fmtid="{D5CDD505-2E9C-101B-9397-08002B2CF9AE}" pid="17" name="PSAKDIN">
    <vt:lpwstr>גזר-דין</vt:lpwstr>
  </property>
  <property fmtid="{D5CDD505-2E9C-101B-9397-08002B2CF9AE}" pid="18" name="RemarkFileName">
    <vt:lpwstr>mechozi me 09 149 34 htm</vt:lpwstr>
  </property>
  <property fmtid="{D5CDD505-2E9C-101B-9397-08002B2CF9AE}" pid="19" name="TYPE">
    <vt:lpwstr>2</vt:lpwstr>
  </property>
  <property fmtid="{D5CDD505-2E9C-101B-9397-08002B2CF9AE}" pid="20" name="TYPE_ABS_DATE">
    <vt:lpwstr>390020110407</vt:lpwstr>
  </property>
  <property fmtid="{D5CDD505-2E9C-101B-9397-08002B2CF9AE}" pid="21" name="TYPE_N_DATE">
    <vt:lpwstr>39020110407</vt:lpwstr>
  </property>
  <property fmtid="{D5CDD505-2E9C-101B-9397-08002B2CF9AE}" pid="22" name="WORDNUMPAGES">
    <vt:lpwstr>9</vt:lpwstr>
  </property>
</Properties>
</file>