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wmf" ContentType="image/x-wmf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15153-09-18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כהנא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הרכב כבוד השופטים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יחיאל ליפשיץ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, [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גלית ציגלר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 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שמואל מנדלבום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מאור כהנא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אריאל ורדינאן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#2#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301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כללי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>הנאשמים הורשעו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בהכרעת דין מנומקת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הנוגעות לאירוע שהתרחש ביום </w:t>
      </w:r>
      <w:r>
        <w:rPr>
          <w:rFonts w:cs="David" w:ascii="David" w:hAnsi="David"/>
          <w:sz w:val="24"/>
          <w:szCs w:val="24"/>
        </w:rPr>
        <w:t>1.8.18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ובו נרצח מאור בן חיים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המנוח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לעיל בסביבות השעה </w:t>
      </w:r>
      <w:r>
        <w:rPr>
          <w:rFonts w:cs="David" w:ascii="David" w:hAnsi="David"/>
          <w:sz w:val="24"/>
          <w:szCs w:val="24"/>
        </w:rPr>
        <w:t>19:00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הגיעו הנאשמים כשהם רכובים על אופנוע למסעדת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החוף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קי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בקרית 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ורדיניאן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נהג באופנוע ומאחוריו ישב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כהנא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ורדיניאן עצר את האופנוע בכיכר הסמוכה למסעדה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כהנא ירד מהאופנוע וצעד כשקסדה על ראשו לרחבת המסעדה שהמתה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באחד משולחנות המסעדה ישבו שלושה ובהם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כהנא התקרב לשולחן בו ישב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שלף אקדח וירה לעברו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המנוח ניסה להימלט אך הקליעים השיגוהו והוא התמוטט ומת סמוך לאחר מכן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הירי חזר כהנא לעבר האופנוע והשניים נמלטו לאתר באזור שמורת נחל נעמן בו נהגו לגדל קנביס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הסתתרו עד שנעצרו על ידי המשטרה מספר שעות לאחר מכן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/>
          <w:rtl w:val="true"/>
        </w:rPr>
        <w:t>כתב האישום ייחס לשני הנאשמים עבירת רצח ועבירות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כהנא הכחיש מכל וכל לכל אורך שלבי המשפט כי היה לו קשר 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ורדיניאן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בתמצות נמרץ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אישר רק בעת שעלה להעיד כי נהג באופנוע אך טען שלא ידע את מטרת הנסיעה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ורדיניאן כי מי שהרכיב על האופנוע ושירה למוות במנוח לא היה כהנא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סירב למסור את פרטי אותו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גרסאות השניים נדחו מכל וכל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בהכרעת הדין שניתנה ביום </w:t>
      </w:r>
      <w:r>
        <w:rPr>
          <w:rFonts w:cs="David" w:ascii="David" w:hAnsi="David"/>
        </w:rPr>
        <w:t>20.3.22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הרשענו את כהנא בעבירה של </w:t>
      </w:r>
      <w:r>
        <w:rPr>
          <w:rFonts w:ascii="David" w:hAnsi="David"/>
          <w:b/>
          <w:b/>
          <w:bCs/>
          <w:rtl w:val="true"/>
        </w:rPr>
        <w:t>רצח בכוונה 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)+</w:t>
        </w:r>
        <w:r>
          <w:rPr>
            <w:rStyle w:val="Hyperlink"/>
            <w:rFonts w:cs="David" w:ascii="David" w:hAnsi="David"/>
          </w:rPr>
          <w:t>301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בנוסחו טרם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ורדיניאן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הרשענו </w:t>
      </w:r>
      <w:r>
        <w:rPr>
          <w:rFonts w:ascii="David" w:hAnsi="David"/>
          <w:b/>
          <w:b/>
          <w:bCs/>
          <w:rtl w:val="true"/>
        </w:rPr>
        <w:t>בסיוע לרצח</w:t>
      </w:r>
      <w:r>
        <w:rPr>
          <w:rFonts w:ascii="David" w:hAnsi="David"/>
          <w:rtl w:val="true"/>
        </w:rPr>
        <w:t xml:space="preserve"> לפי ס</w:t>
      </w:r>
      <w:r>
        <w:rPr>
          <w:rFonts w:cs="David" w:ascii="David" w:hAnsi="David"/>
          <w:rtl w:val="true"/>
        </w:rPr>
        <w:t xml:space="preserve">' </w:t>
      </w:r>
      <w:hyperlink r:id="rId13"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>+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14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בנוסחו טרם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הרשענו את שני הנאשמים ב</w:t>
      </w:r>
      <w:r>
        <w:rPr>
          <w:rFonts w:ascii="David" w:hAnsi="David"/>
          <w:b/>
          <w:b/>
          <w:bCs/>
          <w:rtl w:val="true"/>
        </w:rPr>
        <w:t xml:space="preserve">עבירות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נשיאה והובלה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>+</w:t>
      </w:r>
      <w:hyperlink r:id="rId16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סעיפים </w:t>
      </w:r>
      <w:hyperlink r:id="rId17"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+ </w:t>
      </w:r>
      <w:hyperlink r:id="rId18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תסקירי נפגעי עבירה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המנוח היה 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במותו והותיר אחריו אישה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תאומים שכיום הם כבני 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ופעוט שכיום הוא כבן 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ושנולד לאחר מות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בנוסף הותיר המנוח הורים 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רצח המנוח נפל על בני משפחת המנוח כרעם ביום בהיר והותיר מעגלי נזק שעדיין קיימים ומתרחבים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אלמנת המנוח תיארה שהכירה את המנוח כשהיתה בת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וסיפרה אודות זוגיות מלאת אהבה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עורכת חוות הדעת תיארה שהאלמנה מתקשה לעבד את האובדן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שכיום היא בזוגיות חדשה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הרצח היתה אלמנת המנוח בתחילת ההריון עם בנה הקטן והמשך ההיריון היה קשה עד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תוארו קשייה הנפשיים הרגשיים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המשפחתיים והכלכליים של אלמנת המנוח כתוצאה מהאובדן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קשיי ילדיו של המנוח שלא הצליחו משום גילם להבין עד תום את משמעות העדרו ומותו של אביהם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בתסקיר נפרד הובא פירוט אודות הוריו וחלק מאחיו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תואר על ידם כבעל אישיות כובשת ויכולת נתינה שסייע לאחרים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 המשפחה התקשו להבין את הגורמים והנסיבות שהובילו את הנאשמים לרצוח 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ועורכת התסקיר תיארה את דרכי ההתמודדות והקשיים של בני המשפחה כתוצאה ממותו הטראגי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הפתאומי והאלים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תוארו חוויות של פחד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חרדה ואימה אשר הקשו ומקשים על תהליך האבל ועיבוד האובדן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תואר כי ההווי המשפחתי נפגע קשות וכיום הוא נעדר שמחה והנאה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עורכת התסקיר התייחסה גם לאחיו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עד תביעה מרכזי ועניינו נדון באריכות במסגרת הכרעת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מטעמי צנעת הפרט לא ארחיב בנדון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ראיות הצדדים לעונש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הגישה את גיליון הרישום הפלילי של כהנא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חרף גילו הצעיר יחסית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1995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הוא הורשע כבר בגיל צעיר בעבירות סמים ואלימות ונדון למאסרים על תנאי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ובשנת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נדון בבית המשפט המחוזי ל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וכן למאסר על תנאי בר הפעלה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שהורשע בניסיון שוד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ההרשעה מתייחסת לאירוע מיום </w:t>
      </w:r>
      <w:r>
        <w:rPr>
          <w:rFonts w:cs="David" w:ascii="David" w:hAnsi="David"/>
          <w:sz w:val="24"/>
          <w:szCs w:val="24"/>
        </w:rPr>
        <w:t>2.4.15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 ניסה יחד עם אחר לשדוד סניף דואר כשהם רעולי פנים ומצוידים בסכין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. 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16975-04-15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גז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מיום </w:t>
      </w:r>
      <w:r>
        <w:rPr>
          <w:rFonts w:cs="David" w:ascii="David" w:hAnsi="David"/>
          <w:sz w:val="24"/>
          <w:szCs w:val="24"/>
        </w:rPr>
        <w:t>11.10.15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מכיוון שלא הוכן תסקיר בתיק הנוכחי בנוגע למי מהנאשמים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ומשום שעל רקע הכחשתו של כהנא את הרצח ומשום הנחייתו לבא כוחו גם לא הוגשו בדיון הנוכחי ראיות לעונש והוא אף בחר שלא לטעון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קיימת חשיבות מסוימת לגזר הדין שניתן בתיק ניסיון השוד לעיל בו הכין שירות המבחן 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מוסיף על הנתונים שנתגלו לנו אודות כהנא במהלך שמיעת הראיות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הוריו של כהנא התגרשו כאשר היה תינוק והם נישאו לבני זוג אחרים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כהנא נשלח לפנימיות בגיל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וסמוך לאחר מכן החל לצרוך סמים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בגיל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חזר לבית אמו ומשם עבר לבית סבתו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התחבר לחברת שוליים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להשתמש בסמים קשים ונגרר לפלילים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בגיל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נקלט כהנא לבקשתו בקהילת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מלכישוע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אך נפלט משם כעבור כחצי שנה עקב קושי להתמודד עם גבולות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 נפצע בתאונת דרכים ונפגע בראשו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עבר שוב גמילה פיזית מסמים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הפעם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בית חם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במשך חודשיים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חזר לאחר מכן לשימוש בסמים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חיווה דעתו באותו הליך כי נוכח המציאות המשפחתית הקשה והמורכבת בה גדל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דמויות הוריות מציבות גבולות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לו כוחות להליך טיפולי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 כי מדובר במי שלאורך השנים סיגל לעצמו דפוסי התנהגות עברייניים וקשרים בעייתיים בסביבת מגוריו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נשקפת ממנו רמת סיכון גבוהה להמשך שימוש בסמים ולהישנות התנהגות פורצת גבולות ועוברת חוק בעתיד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לגבי המאסר על תנאי שהושת על כהנא בתיק ניסיון השוד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ונקבע כי הם יופעלו באם הנאשם יעבור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מיום שחרורו את העבירה בה הורשע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כל עבירת אלימות או רכוש מסוג פשע </w:t>
      </w:r>
      <w:r>
        <w:rPr>
          <w:rFonts w:cs="David" w:ascii="David" w:hAnsi="David"/>
          <w:sz w:val="24"/>
          <w:szCs w:val="24"/>
          <w:rtl w:val="true"/>
        </w:rPr>
        <w:t xml:space="preserve">...".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גזר הדין ניתן ביום </w:t>
      </w:r>
      <w:r>
        <w:rPr>
          <w:rFonts w:cs="David" w:ascii="David" w:hAnsi="David"/>
          <w:sz w:val="24"/>
          <w:szCs w:val="24"/>
        </w:rPr>
        <w:t>11.10.15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וכהנא שוחרר ממאסרו במחצית שנת 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משכך אין מחלוקת בדבר חלות התנאי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הגישה המאשימה את פלט הרישום הפלילי של ורדיניאן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ביליד </w:t>
      </w:r>
      <w:r>
        <w:rPr>
          <w:rFonts w:cs="David" w:ascii="David" w:hAnsi="David"/>
          <w:sz w:val="24"/>
          <w:szCs w:val="24"/>
        </w:rPr>
        <w:t>1990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ריצה מספר מאסרים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נדון ל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לאחר שהורשע בעבירות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סמים ואחרות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באותה שנה נדון 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בגין עבירות סמים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ובשנת </w:t>
      </w:r>
      <w:r>
        <w:rPr>
          <w:rFonts w:cs="David" w:ascii="David" w:hAnsi="David"/>
          <w:sz w:val="24"/>
          <w:szCs w:val="24"/>
        </w:rPr>
        <w:t>2014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נדון ל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בגין עבירות 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בנוסף הוא הורשע עוד מספר פעמים ונדון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למאסרים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לרוב על 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טיעוני המאשימה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עמדה מטבע הדברים על חומרת מעשי הנאשמים וציינה כי הם הוציאו לפועל תכנית לרצח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שהותיר אחריו אלמנה ו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אחד מהם נולד לאחר מות אביו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עמדה על האכזריות וקור הרוח בה פעל כהנא והפנתה להכרעת הדין שם 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מדובר בהתנקשות מתוכננת היטב שהוצאה לפועל באורח קר ומחושב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עתרה להשית על כהנא את עונש החובה הקבוע בחוק בגין עבירת הרצח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היינו מאסר עולם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לגזור עליו עונשי מאסר בגין יתר העבירות בהן הורשע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נשק ושיבוש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הוסכם כי יש לקבוע את המאסרים בעבירות הנלוות בחופף למאסר העולם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טיעוני המאשימה בפרוטוקול הדיון מיום </w:t>
      </w:r>
      <w:r>
        <w:rPr>
          <w:rFonts w:cs="David" w:ascii="David" w:hAnsi="David"/>
          <w:sz w:val="24"/>
          <w:szCs w:val="24"/>
        </w:rPr>
        <w:t>22.9.22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ואשר תיקנו את הטיעונים הכתובים שהוגשו ונסרקו לתיק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המאשימה להפעיל את המאסר על תנאי לעיל במצטבר למאסר העולם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עתרה למאסרים מותנים ולפיצוי לטובת ילדיו של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לגבי ורדיניאן עמדה המאשימה על חומרת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חרף הרשעתו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בעבירת סיוע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ובשתי העבירות הנלוות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מעשיו מצויים ברף חומרה גבוה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 שהיה חלק בלתי נפרד מתוכנית הרצח ותרומתו להוצאתה לפועל היתה קריטית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הוא ידע מה מטרתו של כהנא וסייע לו באופן אקטיבי בכך שהסיע אותו לזירת הרצח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המתין לו עד שהאחרון ביצע את משימתו הקטלנית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ומילט אותו לאחר מכן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ורדיניאן הבין את משמעות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היתה לו שליטה עליהם והוא יכול היה להימנע מעשייתם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הסכימה כי יש לקבוע מתחם אחד לגבי כלל מעשיו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920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לפרוטוקול הדיון מיום </w:t>
      </w:r>
      <w:r>
        <w:rPr>
          <w:rFonts w:cs="David" w:ascii="David" w:hAnsi="David"/>
          <w:sz w:val="24"/>
          <w:szCs w:val="24"/>
        </w:rPr>
        <w:t>22.9.22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הפנתה לפסיקה שלשיטתה מייצגת את מדיניות הענישה הנוהגת בעבירות שכאלה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ועתרה למתחם שבין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לגבי העונש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הפנתה המאשימה לעברו הפלילי המכביד של ורדיניאן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לכך שלא קיבל אחריות על מעשיו ואף אחז בגרסה שקרית במהלך ניהול משפטו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נתונים אלה מצדיקים לשיטת המאשימה את קביעת העונש על הרף הגבוה של המתחם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המאשימה למאסרים על תנאי ופיצויים לטובת ילדיו של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טיעוני הנאשמים ודבריהם טרם גזר הדין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 כוחו של כהנא – 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ליאור בר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זוהר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טען לעונש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הנחיית מרשו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עומד על חפותו ובקשתו היחידה היתה להפעיל את המאסר על תנאי בחופף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 כוחו של ורדיניאן – 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דן גלעד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את כל הטענות שניתן להעלות לזכות מרשו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עיקר הטיעון בא להציג את מעשיו של ורדיניאן באור שאינו חמור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ולו באופן יחסי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לכך הובאו קביעות מהכרעת הדין שם צוין כי ורדיניאן היה דמות שולית יחסית ופאסיבית שעיקר חלקה היה בהסעת כהנא ממקום למקום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נוכח קביעות אלה מדובר בדמות משנית ואחריותו היא עקיפה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הפנה בא כוח הנאשם לפסיקה שלשיטתו מייצגת את הענישה הנוהגת במקרים דומים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בסיס כלל הנתונים הרלוונטיים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שרק תמציתם הוצג במסגרת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 ורדיניאן למתחם כולל שבין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לגבי העונש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לנסיבות חייו הקשות של ורדיניאן – בן יחיד שעלה לארץ רק עם אמו כאשר היה כבן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גדל ללא דמות אב ועקב בעיותיו אף לא גויס לצבא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הנאשם נטל אחריות ולו באופן מסוים כאשר אישר שהוא זה שהסיע את הרוצח לזירה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ביחס לכהנא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ורדיניאן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דג רקק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אדם דל ולא מתוחכם 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מקומו בהיררכיה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נמוך למדי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נתונים ושיקולים אלה נטען שיש להסתפק בתקופת המעצר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ניתנה לנאשמים לומר את דברם טרם גזר הדין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זכות המילה האחרונה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הביע כהנא ביטחון שעניינו ישוב לידון בבית המשפט המחוזי לאחר שיישמע ערעורו בבית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ורדיניאן ויתר על זכותו למסור דברים טרם גזר הדין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דיון ומסקנות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הדיון בעונשו של כהנא יהיה קצר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העבירה העיקרית בה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רצח בכוונה תחילה לפי </w:t>
      </w:r>
      <w:hyperlink r:id="rId2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David" w:hAnsi="David"/>
            <w:sz w:val="24"/>
            <w:szCs w:val="24"/>
          </w:rPr>
          <w:t>300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+</w:t>
      </w:r>
      <w:hyperlink r:id="rId21">
        <w:r>
          <w:rPr>
            <w:rStyle w:val="Hyperlink"/>
            <w:rFonts w:cs="David" w:ascii="David" w:hAnsi="David"/>
            <w:sz w:val="24"/>
            <w:szCs w:val="24"/>
          </w:rPr>
          <w:t>301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בנוסחו טרם תיקון </w:t>
      </w:r>
      <w:r>
        <w:rPr>
          <w:rFonts w:cs="David" w:ascii="David" w:hAnsi="David"/>
          <w:sz w:val="24"/>
          <w:szCs w:val="24"/>
        </w:rPr>
        <w:t>137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מחייבת השתת מאסר עולם כעונש חובה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מיעוט הדברים שייכתב בעניינו עומד ביחס הפוך לחומרת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קבענו בהקשר אליו כי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מדובר בהתנקשות מתוכננת היטב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במסגרתה הוציא כהנא לפועל את תכניתו להמית את המנוח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 עשה כן באכזריות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בקור רוח ותוך שהוא מסכן אחרים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231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להכרעת הדין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במי שנטל חייו של אחר ובכך פגע בערך החשוב מכל של שמירת חיי האדם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במעשיו הותיר אחריו אלמנה עם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ילדים קטנים שאחד מהם נולד לאחר שאביו נרצח באכזריות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מעגלי הנזק שנגרמו כתוצאה ממעשיו הנפשעים הם עצומים וילוו את משפחת המנוח עוד שנים רבות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הסכימה בטיעוניה כי העונשים בגין העבירות הנוספות בהן הורשע כהנא יהיו בחופף למאסר העולם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נהיה בהקשר זה יותר תובעים מהתובעים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בנדון האמור בע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5733/13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מעוז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5.7.2016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ולכן נאמץ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במקרה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עמדה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אמליץ לחבריי לגזור על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>מאור כהנא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עולם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בגין הרשעתו בעבירת הנשק ובעבירה של 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אמליץ לחבריי לחפוף את כלל העונשים לעיל באופן שבסופו של דבר ייגזר על הנאשם עונש מאסר עולם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לרכיב פיצוי כמפורט להלן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בשים לב לכלל הקבוע </w:t>
      </w:r>
      <w:hyperlink r:id="rId2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בס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 w:ascii="David" w:hAnsi="David"/>
            <w:sz w:val="24"/>
            <w:szCs w:val="24"/>
          </w:rPr>
          <w:t>58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להלכות בנדון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לדוגמה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1944/20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2.9.20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2471/21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ערישה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16.1.22</w:t>
      </w:r>
      <w:r>
        <w:rPr>
          <w:rFonts w:cs="David" w:ascii="David" w:hAnsi="David"/>
          <w:sz w:val="24"/>
          <w:szCs w:val="24"/>
          <w:rtl w:val="true"/>
        </w:rPr>
        <w:t xml:space="preserve">)) </w:t>
      </w:r>
      <w:r>
        <w:rPr>
          <w:rFonts w:ascii="David" w:hAnsi="David" w:cs="David"/>
          <w:sz w:val="24"/>
          <w:sz w:val="24"/>
          <w:szCs w:val="24"/>
          <w:rtl w:val="true"/>
        </w:rPr>
        <w:t>ומשלא הוצגו נימוקים לסטות מכלל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אמליץ לחבריי להפעיל את תקופת התנאי במצטבר לעונש מאסר העולם לעיל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לגבי ורדיניאן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העבירה המרכזית בה הורשע היתה סיוע לרצח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שהעונש המרבי הקבוע לצידה הוא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הורשע גם בעבירת נשק וכן בעבירה של 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כלל מעשיו מהווים אירוע אחד ולכן ייקבע גם מתחם 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לזכור כי על המתחם לשקף את כלל המעשים וכן את העבירות הנלוות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בנדון בהקשר זה האמור ב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1082/14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סאר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31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23.7.15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נקבע על ידנו לגבי ורדיניאן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הוא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היה מודע לכוונותיו של כהנא לרצוח את המנוח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וכתימוכין הפנינו לכך כי הוא הגיע עם כהנא למפגש המקדים בבריכת אפק כשעה לפני הרצח וכי לא היה זה מפגש סתמי או חברי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הוא שהה עם כהנא גם לאחר שהשניים עזבו את בריכה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הסיע את כהנא על גבי אופנוע עד לזירת הרצח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הוריד את כהנא בכיכר ליד המסעדה כחלק מהסיוע שנתן לו ומתוך מודעות לנתון זה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המתין לכהנא תוך שהוא מקיף בנסיעה את הכיכר הסמוכה למסעדה שם נרצח המנוח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ולאחר הרצח מילט את עצמו ואת כהנא מזירת הרצח לשמורת נחל נעמן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נתונים אלה עומדים באופן מובהק לחובתו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הוספנו וקבענו כי הוא  היה דמות פאסיבית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שולית באופן יחסי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שהיתה אמורה להסיע את כהנא ממקום למקום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before="0" w:after="0"/>
        <w:ind w:start="0"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בפסיקה נקבע שעונשו של מסייע ייגזר ממאפייני הסיוע וממידת תרומתו למימוש התוכנית העבריינית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3706/15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b/>
          <w:b/>
          <w:sz w:val="24"/>
          <w:sz w:val="24"/>
          <w:szCs w:val="24"/>
          <w:rtl w:val="true"/>
        </w:rPr>
        <w:t>טובאסי נ</w:t>
      </w:r>
      <w:r>
        <w:rPr>
          <w:rFonts w:cs="Miriam" w:ascii="Miriam" w:hAnsi="Miriam"/>
          <w:b/>
          <w:sz w:val="24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2.5.2016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7881/20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קשאש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Miriam" w:ascii="Miriam" w:hAnsi="Miriam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פסקאות </w:t>
      </w:r>
      <w:r>
        <w:rPr>
          <w:rFonts w:cs="David" w:ascii="David" w:hAnsi="David"/>
          <w:sz w:val="24"/>
          <w:szCs w:val="24"/>
        </w:rPr>
        <w:t>14-16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10.5.21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בענייננו מדובר בסיוע ברף בינוני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גבוה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מדובר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לדוגמה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במתן אמצעים לפני עשיית העבירה או בסיוע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נקודתי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שירותי הליווי וההסעה שנתן לכהנא לכל אורך הדרך אינם מגיעים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לדוגמה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משיכת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קורבן העבירה למקום הרצח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בהפעלת אלימות כלשהי על הנרצח לצד המבצע העיקרי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ודוק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תפקידו של ורדיניאן בעיקר כנהג אינו קל 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אינו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טכני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ואינו מפחית מחומרת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כפי שצוין לעיל מדובר בליוויו של כהנא משך זמן משמעותי עוד משלבי ההכנה של האירוע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היו לו אינספור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נקודות יציאה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תרתי משמע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הדרך בהן יכול היה להימלך בדעתו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לשנות את מהלך חייו וייתכן ואף להציל את חייו של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שורדיניאן הוריד את כהנא ליד זירת הרצח והמתין לו בעת שהאחרון מבצע את זממו ולאחר מכן מילט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מצביעה על קור רוחו ועל היעדר גבולות מצדו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עיון בפסיקה מלמד כי קיים מנעד רחב של עונשים בעבירה של סיוע לרצח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והכל כאמור בשים לב למאפייני הסיוע שהגיש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הכרעת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בפרק בו ניתחנו את חלקו המשפטי של ורדיניאן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התמקדנו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נהגי מילוט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והפנינו למספר מקרים בהם הורשעו מי ששימשו בפועל כנהגי מילוט כמבצעים בצוותא כאשר אלה היו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מעגל הפנימי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של המבצעים בצוותא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ורדיניאן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נמנה עם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הפנינו למקרה בו הורשע נהג מילוט בסיוע לרצח וכן בקשירת קשר ועבירות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1817/17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סולימנוב ואח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2.4.20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סולימנוב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סולימנוב לעיל נדון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בשם </w:t>
      </w:r>
      <w:r>
        <w:rPr>
          <w:rFonts w:ascii="David" w:hAnsi="David" w:cs="David"/>
          <w:sz w:val="24"/>
          <w:sz w:val="24"/>
          <w:szCs w:val="24"/>
          <w:rtl w:val="true"/>
        </w:rPr>
        <w:t>שלומוב ששימש כנהג שהסיע שניים נוספים לזירת 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ירדו מבצעי הרצח מהרכב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שלומוב נסע מהמקום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השניים שנותרו שם ירו למוות בשומר מפעל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ועם קריאה טלפונית חזר  לזירת הרצח ומילט את המבצעים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הערכאה הדיונית קבעה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לגבי שלומוב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וגזרה את דינו ל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בפסק הדין שניתן בערעור צוין 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מעורבותו של רפי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שלומוב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.)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באירוע הרצח הייתה מוגבלת 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ובמובן זה מקומו הוא בחלקו התחתון של המנעד של מסייע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לכן הופחת עונשו 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אני סבור כי חלקו של ורדיניאן חמור באופן מובהק מעניינו של שלומוב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כפי שצוין לעיל הוא ליווה את כהנא פרק זמן משמעותי בהקשר להוצאת התוכנית לפועל – החל מלפני הרצח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שהסיעו לזירת הרצח והמתין לו בעת שהאחרון רצח את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מילט אותו לאחר מכן והיה שותף לעבירת השיבוש ולעבירת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בשים לב לנסיבות ביצוע העבירות ולכך כי על המתחם לשקף הן את עבירת הסיוע לרצח והן את עבירת הנשק ואת עבירת שיבוש מהלכי המשפט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במידת הפגיעה של הנאשם בערכים החברתיים ובפרט בכך שהוא סייע בגדיעת חייו של המנוח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וכן בהתחשב במדיניות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אציע לחבריי לקבוע מתחם עונש שבין </w:t>
      </w:r>
      <w:r>
        <w:rPr>
          <w:rFonts w:cs="David" w:ascii="David" w:hAnsi="David"/>
          <w:sz w:val="24"/>
          <w:szCs w:val="24"/>
          <w:u w:val="single"/>
        </w:rPr>
        <w:t>10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ל </w:t>
      </w:r>
      <w:r>
        <w:rPr>
          <w:rFonts w:cs="David" w:ascii="David" w:hAnsi="David"/>
          <w:sz w:val="24"/>
          <w:szCs w:val="24"/>
          <w:u w:val="single"/>
        </w:rPr>
        <w:t>16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לגבי הנסיבות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מרבית הנתונים עומדים לחובת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שמי שלחובתו עבר פלילי מכביד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ריצה כאמור מספר תקופות מאסר ועולה כי לא למד לקח מהם דבר ואלה לא הרתיעו אותו מלחזור לבצע עבירות ואף ביתר שאת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מעבר לשיקולי הרתעת הרבים המחויבים נוכח נסיבות האירוע והתוצאה הקטלנית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לקבוע עונש שיביא לידי ביטוי גם את שיקולי הרתעת היחיד וכן את הצורך להרחיקו מהחברה משום מסוכנותו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אפנה לכך כי הנאשם לא נטל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מסר גרסה שקשרה אותו באופן מסוים לרצח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כפי שנותח בהרחבה בהכרעת הדין מדובר בגרסה שרב בה השקר על האמת והיא רחוקה מרחק מזרח ממערב מהאמת או מקבלת אחריות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אפנה לכך כי הוא לא הביע חרטה על מעשיו בישיבת הטיעונים לעונש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אפנה גם לכך שהגם שכפירה באשמה וניהול משפט לא ישמשו לחובת נאשם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))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נקבע לא פעם שנאשם שלא הפנים את חומרת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נטל אחריות עליהם ולא הביע חרטה עליהם אינו ראוי להתחשבות כמי שהכיר באחריותו והתחרט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לדוגמה האמור ב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7211/13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13.12.2015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לטעמי לקבוע את עונשו בחלק הגבוה של המתחם שנקבע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ולכן אמליץ לחבריי להשית על הנאשם מאסר בפועל לתקופה של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רכיבי ענישה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לעניין רכיב הפיצוי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לתוצאה הקטלנית לה גרמו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אחד על פי חלקו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ולנזקים שנגרמו כמשתקף באופן חלקי בתסקירי קורבנות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איני רואה כל אפשרות מלבד השתת מירב הפיצוי על כהנא ופיצוי משמעותי גם על ורדיניאן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משום שאין מדובר בנאשם יחיד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אין מניעה שסכום הפיצוי הכולל יעלה על הסכום הקבוע בחוק שרלוונטי כאשר מדובר בנאשם יחיד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ובאשר לסכום הפיצוי המרבי כאשר מדובר במספר 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האמור בעניין סולימנוב לעיל וכן ב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63357-03-18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‏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סויסה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11.4.21</w:t>
      </w:r>
      <w:r>
        <w:rPr>
          <w:rFonts w:cs="David" w:ascii="David" w:hAnsi="David"/>
          <w:sz w:val="24"/>
          <w:szCs w:val="24"/>
          <w:rtl w:val="true"/>
        </w:rPr>
        <w:t xml:space="preserve">)). 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סוף דבר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אמליץ לחבריי להשית על הנאשמים את העונשים הבאים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על הנאשם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1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–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מאור כהנא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מאסר עולם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בגין הרשעתו בעבירת הנשק ובעבירה של 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שני המאסרים לעיל ירוצו בחופף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הפעלת המאסר על תנאי שנגזר עליו 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16975-04-15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11.10.15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במאסר על תנאי לתקופה של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והם ירוצו במצטבר למאסר העולם לעיל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סוף דבר לגבי רכיב המאסר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כהנא ירצה מאסר עולם ועוד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במצטבר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החל מיום מעצרו – </w:t>
      </w:r>
      <w:r>
        <w:rPr>
          <w:rFonts w:cs="David" w:ascii="David" w:hAnsi="David"/>
          <w:b/>
          <w:bCs/>
          <w:sz w:val="24"/>
          <w:szCs w:val="24"/>
        </w:rPr>
        <w:t>2.8.18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cs="David"/>
          <w:sz w:val="24"/>
          <w:sz w:val="24"/>
          <w:szCs w:val="24"/>
          <w:u w:val="single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בסכום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כולל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258,000</w:t>
      </w:r>
      <w:r>
        <w:rPr>
          <w:rFonts w:cs="David"/>
          <w:sz w:val="24"/>
          <w:szCs w:val="24"/>
          <w:u w:val="single"/>
          <w:rtl w:val="true"/>
        </w:rPr>
        <w:t xml:space="preserve"> 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78,000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180,000</w:t>
      </w:r>
      <w:r>
        <w:rPr>
          <w:rFonts w:cs="David"/>
          <w:sz w:val="24"/>
          <w:szCs w:val="24"/>
          <w:rtl w:val="true"/>
        </w:rPr>
        <w:t xml:space="preserve"> ₪) </w:t>
      </w:r>
      <w:r>
        <w:rPr>
          <w:rFonts w:cs="David"/>
          <w:sz w:val="24"/>
          <w:sz w:val="24"/>
          <w:szCs w:val="24"/>
          <w:rtl w:val="true"/>
        </w:rPr>
        <w:t>תחולק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על הנאשם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2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–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אריאל ורדיניאן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מעצרו – </w:t>
      </w:r>
      <w:r>
        <w:rPr>
          <w:rFonts w:cs="David" w:ascii="David" w:hAnsi="David"/>
          <w:sz w:val="24"/>
          <w:szCs w:val="24"/>
        </w:rPr>
        <w:t>2.8.18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Normal"/>
        <w:spacing w:lineRule="auto" w:line="360"/>
        <w:ind w:hanging="720" w:start="720" w:end="284"/>
        <w:jc w:val="both"/>
        <w:rPr>
          <w:rFonts w:ascii="Calibri" w:hAnsi="Calibri" w:cs="Calibri"/>
        </w:rPr>
      </w:pPr>
      <w:r>
        <w:rPr>
          <w:rFonts w:cs="David" w:ascii="David" w:hAnsi="David"/>
          <w:rtl w:val="true"/>
        </w:rPr>
        <w:t>(-)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;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284"/>
        <w:jc w:val="both"/>
        <w:rPr/>
      </w:pPr>
      <w:r>
        <w:rPr>
          <w:rtl w:val="true"/>
        </w:rPr>
        <w:t>(-)</w:t>
        <w:tab/>
        <w:t xml:space="preserve"> </w:t>
      </w:r>
      <w:r>
        <w:rPr>
          <w:u w:val="single"/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90,000</w:t>
      </w:r>
      <w:r>
        <w:rPr>
          <w:rtl w:val="true"/>
        </w:rPr>
        <w:t xml:space="preserve"> ₪) </w:t>
      </w:r>
      <w:r>
        <w:rPr>
          <w:rtl w:val="true"/>
        </w:rPr>
        <w:t>תחולק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</w:p>
    <w:tbl>
      <w:tblPr>
        <w:bidiVisual w:val="true"/>
        <w:tblW w:w="3685" w:type="dxa"/>
        <w:jc w:val="start"/>
        <w:tblInd w:w="4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Arial"/>
                <w:b/>
                <w:bCs/>
                <w:sz w:val="22"/>
                <w:szCs w:val="22"/>
              </w:rPr>
            </w:pPr>
            <w:r>
              <w:rPr>
                <w:rtl w:val="true"/>
                <w:lang w:val="en-IL" w:eastAsia="en-IL"/>
              </w:rPr>
              <w:drawing>
                <wp:inline distT="0" distB="0" distL="0" distR="0">
                  <wp:extent cx="923925" cy="647700"/>
                  <wp:effectExtent l="0" t="0" r="0" b="0"/>
                  <wp:docPr id="1" name="תמונה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39" t="-56" r="-39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spacing w:lineRule="auto" w:line="360"/>
        <w:ind w:end="284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ציגלר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284"/>
        <w:jc w:val="both"/>
        <w:rPr/>
      </w:pP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bidiVisual w:val="true"/>
        <w:tblW w:w="2406" w:type="dxa"/>
        <w:jc w:val="start"/>
        <w:tblInd w:w="120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6"/>
      </w:tblGrid>
      <w:tr>
        <w:trPr/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Arial"/>
                <w:b/>
                <w:bCs/>
                <w:sz w:val="22"/>
                <w:szCs w:val="22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  <w:drawing>
                <wp:inline distT="0" distB="0" distL="0" distR="0">
                  <wp:extent cx="1305560" cy="828675"/>
                  <wp:effectExtent l="0" t="0" r="0" b="0"/>
                  <wp:docPr id="2" name="תמונה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21" t="-33" r="-21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56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284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284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שמואל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מנדלבום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284"/>
        <w:jc w:val="both"/>
        <w:rPr/>
      </w:pP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2576" w:type="dxa"/>
        <w:jc w:val="start"/>
        <w:tblInd w:w="40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Arial"/>
                <w:b/>
                <w:bCs/>
                <w:sz w:val="22"/>
                <w:szCs w:val="22"/>
              </w:rPr>
            </w:pPr>
            <w:r>
              <w:rPr>
                <w:rtl w:val="true"/>
                <w:lang w:val="en-IL" w:eastAsia="en-IL"/>
              </w:rPr>
              <w:drawing>
                <wp:inline distT="0" distB="0" distL="0" distR="0">
                  <wp:extent cx="1171575" cy="857250"/>
                  <wp:effectExtent l="0" t="0" r="0" b="0"/>
                  <wp:docPr id="3" name="תמונה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-37" t="-52" r="-37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857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rtl w:val="true"/>
              </w:rPr>
            </w:r>
          </w:p>
        </w:tc>
      </w:tr>
    </w:tbl>
    <w:p>
      <w:pPr>
        <w:pStyle w:val="Normal"/>
        <w:spacing w:lineRule="auto" w:line="360"/>
        <w:ind w:end="284"/>
        <w:jc w:val="both"/>
        <w:rPr/>
      </w:pPr>
      <w:r>
        <w:rPr>
          <w:b/>
          <w:b/>
          <w:bCs/>
          <w:u w:val="single"/>
          <w:rtl w:val="true"/>
        </w:rPr>
        <w:t>הוחלט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לגזור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284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על הנאשם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1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–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מאור כהנא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מאסר עולם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בגין הרשעתו בעבירת הנשק ובעבירה של 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שני המאסרים לעיל ירוצו בחופף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הפעלת המאסר על תנאי שנגזר עליו ב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16975-04-15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11.10.15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במאסר על תנאי לתקופה של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והם ירוצו במצטבר למאסר העולם לעיל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סוף דבר לגבי רכיב המאסר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כהנא ירצה מאסר עולם ועוד 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במצטבר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החל מיום מעצרו – </w:t>
      </w:r>
      <w:r>
        <w:rPr>
          <w:rFonts w:cs="David" w:ascii="David" w:hAnsi="David"/>
          <w:b/>
          <w:bCs/>
          <w:sz w:val="24"/>
          <w:szCs w:val="24"/>
        </w:rPr>
        <w:t>2.8.18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cs="David"/>
          <w:sz w:val="24"/>
          <w:sz w:val="24"/>
          <w:szCs w:val="24"/>
          <w:u w:val="single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בסכום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כולל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258,000</w:t>
      </w:r>
      <w:r>
        <w:rPr>
          <w:rFonts w:cs="David"/>
          <w:sz w:val="24"/>
          <w:szCs w:val="24"/>
          <w:u w:val="single"/>
          <w:rtl w:val="true"/>
        </w:rPr>
        <w:t xml:space="preserve"> 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78,000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יהיו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180,000</w:t>
      </w:r>
      <w:r>
        <w:rPr>
          <w:rFonts w:cs="David"/>
          <w:sz w:val="24"/>
          <w:szCs w:val="24"/>
          <w:rtl w:val="true"/>
        </w:rPr>
        <w:t xml:space="preserve"> ₪) </w:t>
      </w:r>
      <w:r>
        <w:rPr>
          <w:rFonts w:cs="David"/>
          <w:sz w:val="24"/>
          <w:sz w:val="24"/>
          <w:szCs w:val="24"/>
          <w:rtl w:val="true"/>
        </w:rPr>
        <w:t>תחולק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לפקודת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1.1.23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מזכירות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והוצאות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במישרין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בעקיפין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הסכומים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יופקדו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בתכניות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שייפתחו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ותוכניות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ייסגרו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אפוטרופוס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ישולמו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לקטינים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יוודא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למזכירות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והילדים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על הנאשם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2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–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אריאל ורדיניאן</w:t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(-)</w:t>
        <w:tab/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מעצרו – </w:t>
      </w:r>
      <w:r>
        <w:rPr>
          <w:rFonts w:cs="David" w:ascii="David" w:hAnsi="David"/>
          <w:sz w:val="24"/>
          <w:szCs w:val="24"/>
        </w:rPr>
        <w:t>2.8.18</w:t>
      </w:r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Normal"/>
        <w:spacing w:lineRule="auto" w:line="360"/>
        <w:ind w:hanging="720" w:start="720" w:end="284"/>
        <w:jc w:val="both"/>
        <w:rPr>
          <w:rFonts w:ascii="Calibri" w:hAnsi="Calibri" w:cs="Calibri"/>
        </w:rPr>
      </w:pPr>
      <w:r>
        <w:rPr>
          <w:rFonts w:cs="David" w:ascii="David" w:hAnsi="David"/>
          <w:rtl w:val="true"/>
        </w:rPr>
        <w:t>(-)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;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284"/>
        <w:jc w:val="both"/>
        <w:rPr/>
      </w:pPr>
      <w:r>
        <w:rPr>
          <w:rtl w:val="true"/>
        </w:rPr>
        <w:t>(-)</w:t>
        <w:tab/>
        <w:t xml:space="preserve"> </w:t>
      </w:r>
      <w:r>
        <w:rPr>
          <w:u w:val="single"/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90,000</w:t>
      </w:r>
      <w:r>
        <w:rPr>
          <w:rtl w:val="true"/>
        </w:rPr>
        <w:t xml:space="preserve"> ₪) </w:t>
      </w:r>
      <w:r>
        <w:rPr>
          <w:rtl w:val="true"/>
        </w:rPr>
        <w:t>תחולק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1.1.23</w:t>
      </w:r>
      <w:r>
        <w:rPr>
          <w:rtl w:val="true"/>
        </w:rPr>
        <w:t xml:space="preserve"> </w:t>
      </w:r>
      <w:r>
        <w:rPr>
          <w:u w:val="single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tl w:val="true"/>
        </w:rPr>
        <w:t xml:space="preserve">.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.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והמרכז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284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284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368" w:end="284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cs="Arial" w:ascii="Arial" w:hAnsi="Arial"/>
          <w:b/>
          <w:bCs/>
          <w:color w:val="FFFFFF"/>
          <w:sz w:val="26"/>
          <w:szCs w:val="26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4"/>
        <w:gridCol w:w="359"/>
        <w:gridCol w:w="2405"/>
        <w:gridCol w:w="345"/>
        <w:gridCol w:w="2572"/>
      </w:tblGrid>
      <w:tr>
        <w:trPr/>
        <w:tc>
          <w:tcPr>
            <w:tcW w:w="282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Arial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Arial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5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0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5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ליפשיץ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cs="Calibri" w:ascii="Calibri" w:hAnsi="Calibri"/>
                <w:b/>
                <w:bCs/>
                <w:color w:val="FF0000"/>
                <w:rtl w:val="true"/>
              </w:rPr>
            </w:r>
          </w:p>
        </w:tc>
        <w:tc>
          <w:tcPr>
            <w:tcW w:w="240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ציגלר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rtl w:val="true"/>
              </w:rPr>
            </w:r>
          </w:p>
        </w:tc>
        <w:tc>
          <w:tcPr>
            <w:tcW w:w="257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מנדלבום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284"/>
        <w:jc w:val="both"/>
        <w:rPr>
          <w:rFonts w:ascii="Calibri" w:hAnsi="Calibri" w:cs="Calibri"/>
          <w:b/>
          <w:bCs/>
          <w:color w:val="FFFFFF"/>
          <w:sz w:val="2"/>
          <w:szCs w:val="2"/>
          <w:u w:val="single"/>
        </w:rPr>
      </w:pPr>
      <w:r>
        <w:rPr>
          <w:rFonts w:cs="Calibri" w:ascii="Calibri" w:hAnsi="Calibri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Arial (W1)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15153-09-18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מאור כהנא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.ja.6" TargetMode="External"/><Relationship Id="rId6" Type="http://schemas.openxmlformats.org/officeDocument/2006/relationships/hyperlink" Target="http://www.nevo.co.il/law/70301/58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00.a.2." TargetMode="External"/><Relationship Id="rId10" Type="http://schemas.openxmlformats.org/officeDocument/2006/relationships/hyperlink" Target="http://www.nevo.co.il/law/70301/301" TargetMode="External"/><Relationship Id="rId11" Type="http://schemas.openxmlformats.org/officeDocument/2006/relationships/hyperlink" Target="http://www.nevo.co.il/law/70301/300.a.2.;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00.a.2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case/20185088" TargetMode="External"/><Relationship Id="rId20" Type="http://schemas.openxmlformats.org/officeDocument/2006/relationships/hyperlink" Target="http://www.nevo.co.il/law/70301/300.a.2" TargetMode="External"/><Relationship Id="rId21" Type="http://schemas.openxmlformats.org/officeDocument/2006/relationships/hyperlink" Target="http://www.nevo.co.il/law/70301/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7963467" TargetMode="External"/><Relationship Id="rId24" Type="http://schemas.openxmlformats.org/officeDocument/2006/relationships/hyperlink" Target="http://www.nevo.co.il/law/70301/5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6538254" TargetMode="External"/><Relationship Id="rId27" Type="http://schemas.openxmlformats.org/officeDocument/2006/relationships/hyperlink" Target="http://www.nevo.co.il/case/27535102" TargetMode="External"/><Relationship Id="rId28" Type="http://schemas.openxmlformats.org/officeDocument/2006/relationships/hyperlink" Target="http://www.nevo.co.il/case/11303307" TargetMode="External"/><Relationship Id="rId29" Type="http://schemas.openxmlformats.org/officeDocument/2006/relationships/hyperlink" Target="http://www.nevo.co.il/case/20317243" TargetMode="External"/><Relationship Id="rId30" Type="http://schemas.openxmlformats.org/officeDocument/2006/relationships/hyperlink" Target="http://www.nevo.co.il/case/27160605" TargetMode="External"/><Relationship Id="rId31" Type="http://schemas.openxmlformats.org/officeDocument/2006/relationships/hyperlink" Target="http://www.nevo.co.il/case/22275576" TargetMode="External"/><Relationship Id="rId32" Type="http://schemas.openxmlformats.org/officeDocument/2006/relationships/hyperlink" Target="http://www.nevo.co.il/law/70301/40.ja.6" TargetMode="External"/><Relationship Id="rId33" Type="http://schemas.openxmlformats.org/officeDocument/2006/relationships/hyperlink" Target="http://www.nevo.co.il/case/10442984" TargetMode="External"/><Relationship Id="rId34" Type="http://schemas.openxmlformats.org/officeDocument/2006/relationships/hyperlink" Target="http://www.nevo.co.il/case/23828266" TargetMode="External"/><Relationship Id="rId35" Type="http://schemas.openxmlformats.org/officeDocument/2006/relationships/hyperlink" Target="http://www.nevo.co.il/case/20185088" TargetMode="External"/><Relationship Id="rId36" Type="http://schemas.openxmlformats.org/officeDocument/2006/relationships/image" Target="media/image1.png"/><Relationship Id="rId37" Type="http://schemas.openxmlformats.org/officeDocument/2006/relationships/image" Target="media/image2.wmf"/><Relationship Id="rId38" Type="http://schemas.openxmlformats.org/officeDocument/2006/relationships/image" Target="media/image3.png"/><Relationship Id="rId39" Type="http://schemas.openxmlformats.org/officeDocument/2006/relationships/hyperlink" Target="http://www.nevo.co.il/case/20185088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2023-11-15T08:03:00Z</dcterms:created>
  <dc:creator> </dc:creator>
  <dc:description/>
  <cp:keywords/>
  <dc:language>en-IL</dc:language>
  <cp:lastModifiedBy>h1</cp:lastModifiedBy>
  <dcterms:modified xsi:type="dcterms:W3CDTF">2023-11-15T08:03:00Z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מאור כהנא;אריאל ורדינאן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20185088:3;7963467;26538254;27535102;11303307;20317243;27160605;22275576;10442984;23828266</vt:lpwstr>
  </property>
  <property fmtid="{D5CDD505-2E9C-101B-9397-08002B2CF9AE}" pid="9" name="CITY">
    <vt:lpwstr>חי'</vt:lpwstr>
  </property>
  <property fmtid="{D5CDD505-2E9C-101B-9397-08002B2CF9AE}" pid="10" name="DATE">
    <vt:lpwstr>20221031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ליפשיץ;גלית ציגלר;שמואל מנדלבום</vt:lpwstr>
  </property>
  <property fmtid="{D5CDD505-2E9C-101B-9397-08002B2CF9AE}" pid="14" name="LAWLISTTMP1">
    <vt:lpwstr>70301/300.a.2:3;301:2;031;144.b;029:2;244;058;040.ja.6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15153</vt:lpwstr>
  </property>
  <property fmtid="{D5CDD505-2E9C-101B-9397-08002B2CF9AE}" pid="22" name="NEWPARTB">
    <vt:lpwstr>09</vt:lpwstr>
  </property>
  <property fmtid="{D5CDD505-2E9C-101B-9397-08002B2CF9AE}" pid="23" name="NEWPARTC">
    <vt:lpwstr>18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390020221031</vt:lpwstr>
  </property>
  <property fmtid="{D5CDD505-2E9C-101B-9397-08002B2CF9AE}" pid="34" name="TYPE_N_DATE">
    <vt:lpwstr>39020221031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