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15791-02-13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tbl>
      <w:tblPr>
        <w:bidiVisual w:val="true"/>
        <w:tblW w:w="9018" w:type="dxa"/>
        <w:jc w:val="start"/>
        <w:tblInd w:w="-2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>
          <w:trHeight w:val="3942" w:hRule="atLeast"/>
        </w:trPr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0" w:name="FirstAppellant"/>
            <w:bookmarkStart w:id="1" w:name="_GoBack"/>
            <w:bookmarkEnd w:id="0"/>
            <w:bookmarkEnd w:id="1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השופטים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הורוביץ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טובי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1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.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יאסר כיאל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(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)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ת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"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ז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035670017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br/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2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.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סוהיל כיאל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(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)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ת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"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ז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028240059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br/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3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.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מחמוד שאמי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(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)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ת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"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ז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203999495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 </w:t>
              <w:br/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4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.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עומר שאעפי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(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)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ת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"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ז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205751373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br/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5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.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אחמד חטיב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(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 xml:space="preserve">) 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>ת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rtl w:val="true"/>
              </w:rPr>
              <w:t>"</w:t>
            </w:r>
            <w:r>
              <w:rPr>
                <w:rFonts w:ascii="David;Times New Roman" w:hAnsi="David;Times New Roman" w:eastAsia="David;Times New Roman"/>
                <w:b/>
                <w:b/>
                <w:bCs/>
                <w:rtl w:val="true"/>
              </w:rPr>
              <w:t xml:space="preserve">ז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</w:rPr>
              <w:t>204412357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stJudge"/>
      <w:bookmarkStart w:id="5" w:name="LawTable"/>
      <w:bookmarkStart w:id="6" w:name="LastJudg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כיבד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מעורבותם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בהריגת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לעונשים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המוסכמים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ולטווחי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המוסכמים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האחר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תשלום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פיצויים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כיבודו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בהריגת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מוסכמים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מוסכם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מייצגת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ההנאה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אידך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ומחדלי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חקירה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נטענים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מההסדר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-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–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–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–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–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למשפחת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center"/>
        <w:rPr>
          <w:rFonts w:ascii="Arial;Times New Roman" w:hAnsi="Arial;Times New Roman"/>
          <w:b/>
          <w:bCs/>
          <w:sz w:val="32"/>
          <w:szCs w:val="32"/>
        </w:rPr>
      </w:pPr>
      <w:bookmarkStart w:id="12" w:name="PsakDin"/>
      <w:bookmarkEnd w:id="12"/>
      <w:r>
        <w:rPr>
          <w:rFonts w:ascii="Arial;Times New Roman" w:hAnsi="Arial;Times New Roman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;Times New Roman" w:hAnsi="Arial;Times New Roman" w:eastAsia="Arial;Times New Roman" w:cs="Arial;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;Times New Roman" w:hAnsi="Arial;Times New Roman" w:cs="FrankRueh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  <w:b/>
          <w:bCs/>
          <w:sz w:val="32"/>
          <w:szCs w:val="32"/>
        </w:rPr>
      </w:pPr>
      <w:r>
        <w:rPr>
          <w:rFonts w:cs="Arial;Times New Roman" w:ascii="Arial;Times New Roman" w:hAnsi="Arial;Times New Roman"/>
          <w:b/>
          <w:bCs/>
          <w:sz w:val="32"/>
          <w:szCs w:val="32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עבד</w:t>
      </w:r>
      <w:r>
        <w:rPr>
          <w:rtl w:val="true"/>
        </w:rPr>
        <w:t xml:space="preserve">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/</w:t>
      </w:r>
      <w:r>
        <w:rPr>
          <w:rtl w:val="true"/>
        </w:rPr>
        <w:t>נרגילות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הכפר</w:t>
      </w:r>
      <w:r>
        <w:rPr>
          <w:rtl w:val="true"/>
        </w:rPr>
        <w:t xml:space="preserve">],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וכיאל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9.12.11</w:t>
      </w:r>
      <w:r>
        <w:rPr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1,3,4,5</w:t>
      </w:r>
      <w:r>
        <w:rPr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/>
        <w:t>12.9.12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ומועתצם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מועתצם</w:t>
      </w:r>
      <w:r>
        <w:rPr>
          <w:rtl w:val="true"/>
        </w:rPr>
        <w:t xml:space="preserve">]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ממועתצם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כשמכונית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13.9.12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>].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–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+ </w:t>
      </w:r>
      <w:hyperlink r:id="rId4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-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23-17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 xml:space="preserve">. </w:t>
      </w:r>
      <w:r>
        <w:rPr>
          <w:rtl w:val="true"/>
        </w:rPr>
        <w:t>מתיאוריו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שהעניקה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מחויבות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לאידיאליזציה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נאלצים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להתרשמותו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שיחברוֹ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17.11.14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"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וסנגוריו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tl w:val="true"/>
        </w:rPr>
        <w:t>-</w:t>
      </w:r>
      <w:r>
        <w:rPr>
          <w:rtl w:val="true"/>
        </w:rPr>
        <w:t>נוירולוגיה</w:t>
      </w:r>
      <w:r>
        <w:rPr>
          <w:rtl w:val="true"/>
        </w:rPr>
        <w:t xml:space="preserve">,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30.12.14</w:t>
      </w:r>
      <w:r>
        <w:rPr>
          <w:rtl w:val="true"/>
        </w:rPr>
        <w:t xml:space="preserve"> 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, "</w:t>
      </w:r>
      <w:r>
        <w:rPr>
          <w:rtl w:val="true"/>
        </w:rPr>
        <w:t>העצימו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 xml:space="preserve">,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לכוונותיהם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הנבוזי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טיפח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. "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".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". 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</w:r>
      <w:r>
        <w:rPr>
          <w:rtl w:val="true"/>
        </w:rPr>
        <w:t>השושלת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מועתצם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מועתצם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אחיות</w:t>
      </w:r>
      <w:r>
        <w:rPr>
          <w:rtl w:val="true"/>
        </w:rPr>
        <w:t xml:space="preserve">.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שכיבודו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 "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15741-02-13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28/5/12</w:t>
      </w:r>
      <w:r>
        <w:rPr>
          <w:rtl w:val="true"/>
        </w:rPr>
        <w:t xml:space="preserve">).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43"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44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, </w:t>
      </w:r>
      <w:hyperlink r:id="rId4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9">
        <w:r>
          <w:rPr>
            <w:rStyle w:val="Hyperlink"/>
          </w:rPr>
          <w:t>244</w:t>
        </w:r>
      </w:hyperlink>
      <w:r>
        <w:rPr>
          <w:rtl w:val="true"/>
        </w:rPr>
        <w:t xml:space="preserve"> + </w:t>
      </w:r>
      <w:hyperlink r:id="rId5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11/12/14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יחויבו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לטעמם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".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הכניסה</w:t>
      </w:r>
      <w:r>
        <w:rPr>
          <w:rtl w:val="true"/>
        </w:rPr>
        <w:t xml:space="preserve">"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המתכנן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</w:t>
      </w:r>
      <w:r>
        <w:rPr>
          <w:rtl w:val="true"/>
        </w:rPr>
        <w:t xml:space="preserve">.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בחתונתן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tl w:val="true"/>
        </w:rPr>
        <w:t xml:space="preserve">; </w:t>
      </w:r>
      <w:r>
        <w:rPr>
          <w:rtl w:val="true"/>
        </w:rPr>
        <w:t>ומכתבו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המוסלמית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", </w:t>
      </w:r>
      <w:r>
        <w:rPr>
          <w:rtl w:val="true"/>
        </w:rPr>
        <w:t>שמואס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שְבע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תרגילים</w:t>
      </w:r>
      <w:r>
        <w:rPr>
          <w:rtl w:val="true"/>
        </w:rPr>
        <w:t xml:space="preserve">"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שמהתרגשות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".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שנחליט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ושאלנו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אמוּר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27/4/12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2/5/13</w:t>
      </w:r>
      <w:r>
        <w:rPr>
          <w:rtl w:val="true"/>
        </w:rPr>
        <w:t xml:space="preserve">) </w:t>
      </w:r>
      <w:r>
        <w:rPr>
          <w:rtl w:val="true"/>
        </w:rPr>
        <w:t>ולתמונות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27/4/12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בטחול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.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המצולמת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כמנהגה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שביצועה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ולבצעו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יתואר</w:t>
      </w:r>
      <w:r>
        <w:rPr>
          <w:rtl w:val="true"/>
        </w:rPr>
        <w:t xml:space="preserve">,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tl w:val="true"/>
        </w:rPr>
        <w:t xml:space="preserve">, </w:t>
      </w:r>
      <w:r>
        <w:rPr>
          <w:rtl w:val="true"/>
        </w:rPr>
        <w:t>שהתגלו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מייצגת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ההנאה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שניתנה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לנאשם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מצד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אחר</w:t>
      </w:r>
      <w:r>
        <w:rPr>
          <w:b/>
          <w:bCs/>
          <w:spacing w:val="-2"/>
          <w:rtl w:val="true"/>
        </w:rPr>
        <w:t xml:space="preserve">, </w:t>
      </w:r>
      <w:r>
        <w:rPr>
          <w:b/>
          <w:b/>
          <w:bCs/>
          <w:spacing w:val="-2"/>
          <w:rtl w:val="true"/>
        </w:rPr>
        <w:t>יכבד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בית</w:t>
      </w:r>
      <w:r>
        <w:rPr>
          <w:b/>
          <w:bCs/>
          <w:spacing w:val="-2"/>
          <w:position w:val="4"/>
          <w:rtl w:val="true"/>
        </w:rPr>
        <w:t>-</w:t>
      </w:r>
      <w:r>
        <w:rPr>
          <w:b/>
          <w:b/>
          <w:bCs/>
          <w:spacing w:val="-2"/>
          <w:rtl w:val="true"/>
        </w:rPr>
        <w:t>המשפט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את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הסדר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הטיעון</w:t>
      </w:r>
      <w:r>
        <w:rPr>
          <w:b/>
          <w:bCs/>
          <w:spacing w:val="-2"/>
          <w:rtl w:val="true"/>
        </w:rPr>
        <w:t xml:space="preserve">. </w:t>
      </w:r>
      <w:r>
        <w:rPr>
          <w:b/>
          <w:b/>
          <w:bCs/>
          <w:spacing w:val="-2"/>
          <w:rtl w:val="true"/>
        </w:rPr>
        <w:t>בית</w:t>
      </w:r>
      <w:r>
        <w:rPr>
          <w:b/>
          <w:bCs/>
          <w:spacing w:val="-2"/>
          <w:position w:val="4"/>
          <w:rtl w:val="true"/>
        </w:rPr>
        <w:t>-</w:t>
      </w:r>
      <w:r>
        <w:rPr>
          <w:b/>
          <w:b/>
          <w:bCs/>
          <w:spacing w:val="-2"/>
          <w:rtl w:val="true"/>
        </w:rPr>
        <w:t>המשפט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ישווה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לנגד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עיניו</w:t>
      </w:r>
      <w:r>
        <w:rPr>
          <w:b/>
          <w:bCs/>
          <w:spacing w:val="-2"/>
          <w:rtl w:val="true"/>
        </w:rPr>
        <w:t xml:space="preserve">, </w:t>
      </w:r>
      <w:r>
        <w:rPr>
          <w:b/>
          <w:b/>
          <w:bCs/>
          <w:spacing w:val="-2"/>
          <w:rtl w:val="true"/>
        </w:rPr>
        <w:t>בין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היתר</w:t>
      </w:r>
      <w:r>
        <w:rPr>
          <w:b/>
          <w:bCs/>
          <w:spacing w:val="-2"/>
          <w:rtl w:val="true"/>
        </w:rPr>
        <w:t xml:space="preserve">, </w:t>
      </w:r>
      <w:r>
        <w:rPr>
          <w:b/>
          <w:b/>
          <w:bCs/>
          <w:spacing w:val="-2"/>
          <w:rtl w:val="true"/>
        </w:rPr>
        <w:t>את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המגמה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העקרונית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לעידוד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הסדרי</w:t>
      </w:r>
      <w:r>
        <w:rPr>
          <w:rFonts w:cs="Times New Roman"/>
          <w:b/>
          <w:b/>
          <w:bCs/>
          <w:spacing w:val="-2"/>
          <w:rtl w:val="true"/>
        </w:rPr>
        <w:t xml:space="preserve"> </w:t>
      </w:r>
      <w:r>
        <w:rPr>
          <w:b/>
          <w:b/>
          <w:bCs/>
          <w:spacing w:val="-2"/>
          <w:rtl w:val="true"/>
        </w:rPr>
        <w:t>טיעון</w:t>
      </w:r>
      <w:r>
        <w:rPr>
          <w:b/>
          <w:bCs/>
          <w:spacing w:val="-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:</w:t>
      </w:r>
    </w:p>
    <w:p>
      <w:pPr>
        <w:pStyle w:val="Style14"/>
        <w:ind w:start="1466" w:end="900"/>
        <w:jc w:val="both"/>
        <w:rPr>
          <w:szCs w:val="24"/>
        </w:rPr>
      </w:pPr>
      <w:r>
        <w:rPr>
          <w:szCs w:val="24"/>
          <w:rtl w:val="true"/>
        </w:rPr>
        <w:t>"</w:t>
      </w:r>
      <w:r>
        <w:rPr>
          <w:szCs w:val="24"/>
          <w:rtl w:val="true"/>
        </w:rPr>
        <w:t>התפיסה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המקובלת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גורסת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שקיום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להוכיח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אשמתו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מהווה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שהתביעה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רשאית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להביאו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בחשבון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בהסכמתה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לענישתו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לסטות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הטיעון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המוסכם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הנימוק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חורג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למעשים</w:t>
      </w:r>
      <w:r>
        <w:rPr>
          <w:szCs w:val="24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המלומדים</w:t>
      </w:r>
      <w:r>
        <w:rPr>
          <w:rtl w:val="true"/>
        </w:rPr>
        <w:t xml:space="preserve">, </w:t>
      </w:r>
      <w:r>
        <w:rPr>
          <w:rtl w:val="true"/>
        </w:rPr>
        <w:t>שקללו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746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481/12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וסנגוריהם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), </w:t>
      </w:r>
      <w:r>
        <w:rPr>
          <w:rtl w:val="true"/>
        </w:rPr>
        <w:t>וידאנו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/>
        <w:ind w:hanging="540" w:start="566" w:end="0"/>
        <w:jc w:val="both"/>
        <w:rPr/>
      </w:pP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4</w:t>
      </w:r>
      <w:r>
        <w:rPr>
          <w:rtl w:val="true"/>
        </w:rPr>
        <w:t xml:space="preserve"> 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>" 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חרטתם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. 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57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ab/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9/1/13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23/1/13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</w:t>
      </w:r>
      <w:r>
        <w:rPr>
          <w:b/>
          <w:b/>
          <w:bCs/>
          <w:rtl w:val="true"/>
        </w:rPr>
        <w:t>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–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1/1/13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–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17/1/13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–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9/1/13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שלטונות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tl w:val="true"/>
        </w:rPr>
        <w:t xml:space="preserve">,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המנוח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לצורך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ניתן היום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כ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א טבת 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12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ינואר </w:t>
      </w:r>
      <w:r>
        <w:rPr>
          <w:rFonts w:cs="Arial;Times New Roman" w:ascii="Arial;Times New Roman" w:hAnsi="Arial;Times New Roman"/>
        </w:rPr>
        <w:t>2015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בנוכחות 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המאשימה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הנאשמים ובאי כוחם</w:t>
      </w:r>
      <w:r>
        <w:rPr>
          <w:rFonts w:cs="Arial;Times New Roman" w:ascii="Arial;Times New Roman" w:hAnsi="Arial;Times New Roman"/>
          <w:rtl w:val="true"/>
        </w:rPr>
        <w:t xml:space="preserve">.   </w:t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1"/>
        <w:gridCol w:w="353"/>
        <w:gridCol w:w="2646"/>
        <w:gridCol w:w="340"/>
        <w:gridCol w:w="2561"/>
      </w:tblGrid>
      <w:tr>
        <w:trPr/>
        <w:tc>
          <w:tcPr>
            <w:tcW w:w="282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53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4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2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הורוביץ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5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64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5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;Times New Roman" w:hAnsi="Arial;Times New Roman" w:cs="FrankRuehl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ח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הורוביץ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David">
    <w:altName w:val="Times New Roman"/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תפח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15791-02-13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יאסר כיאל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7"/>
      <w:numFmt w:val="decimal"/>
      <w:lvlText w:val="%1."/>
      <w:lvlJc w:val="end"/>
      <w:pPr>
        <w:tabs>
          <w:tab w:val="num" w:pos="720"/>
        </w:tabs>
        <w:ind w:start="720" w:hanging="360"/>
      </w:pPr>
      <w:rPr>
        <w:u w:val="none"/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56"/>
      <w:numFmt w:val="decimal"/>
      <w:lvlText w:val="%1."/>
      <w:lvlJc w:val="end"/>
      <w:pPr>
        <w:tabs>
          <w:tab w:val="num" w:pos="386"/>
        </w:tabs>
        <w:ind w:start="386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;Times New Roman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u w:val="no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Calibri" w:hAnsi="Calibri" w:eastAsia="Times New Roman" w:cs="David;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טוט"/>
    <w:basedOn w:val="Normal"/>
    <w:qFormat/>
    <w:pPr>
      <w:spacing w:lineRule="auto" w:line="360"/>
      <w:ind w:hanging="0" w:start="567" w:end="567"/>
      <w:jc w:val="both"/>
    </w:pPr>
    <w:rPr>
      <w:b/>
      <w:bCs/>
      <w:spacing w:val="10"/>
      <w:szCs w:val="28"/>
    </w:rPr>
  </w:style>
  <w:style w:type="paragraph" w:styleId="Style15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;Times New Roman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43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335.a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a.;144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448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244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/144.a.;144.b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/298" TargetMode="External"/><Relationship Id="rId44" Type="http://schemas.openxmlformats.org/officeDocument/2006/relationships/hyperlink" Target="http://www.nevo.co.il/law/70301/31" TargetMode="External"/><Relationship Id="rId45" Type="http://schemas.openxmlformats.org/officeDocument/2006/relationships/hyperlink" Target="http://www.nevo.co.il/law/70301/144.a.;144.b" TargetMode="External"/><Relationship Id="rId46" Type="http://schemas.openxmlformats.org/officeDocument/2006/relationships/hyperlink" Target="http://www.nevo.co.il/law/70301/29" TargetMode="External"/><Relationship Id="rId47" Type="http://schemas.openxmlformats.org/officeDocument/2006/relationships/hyperlink" Target="http://www.nevo.co.il/law/70301/448.a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/244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5227/43" TargetMode="External"/><Relationship Id="rId53" Type="http://schemas.openxmlformats.org/officeDocument/2006/relationships/hyperlink" Target="http://www.nevo.co.il/law/5227" TargetMode="External"/><Relationship Id="rId54" Type="http://schemas.openxmlformats.org/officeDocument/2006/relationships/hyperlink" Target="http://www.nevo.co.il/case/161892" TargetMode="External"/><Relationship Id="rId55" Type="http://schemas.openxmlformats.org/officeDocument/2006/relationships/hyperlink" Target="http://www.nevo.co.il/case/6072433" TargetMode="External"/><Relationship Id="rId56" Type="http://schemas.openxmlformats.org/officeDocument/2006/relationships/hyperlink" Target="http://www.nevo.co.il/case/624591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2015-01-28T09:15:00Z</dcterms:created>
  <dc:creator> </dc:creator>
  <dc:description/>
  <cp:keywords/>
  <dc:language>en-IL</dc:language>
  <cp:lastModifiedBy>orly</cp:lastModifiedBy>
  <dcterms:modified xsi:type="dcterms:W3CDTF">2015-01-28T09:59:00Z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יאסר כיאל;סוהיל כיאל;מחמוד שאמי;עומר שאעפי;אחמד חטיב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ProcID=209&amp;PartA=15741&amp;PartB=02&amp;PartC=13</vt:lpwstr>
  </property>
  <property fmtid="{D5CDD505-2E9C-101B-9397-08002B2CF9AE}" pid="9" name="CASESLISTTMP1">
    <vt:lpwstr>161892;6072433;6245911</vt:lpwstr>
  </property>
  <property fmtid="{D5CDD505-2E9C-101B-9397-08002B2CF9AE}" pid="10" name="CITY">
    <vt:lpwstr>חי'</vt:lpwstr>
  </property>
  <property fmtid="{D5CDD505-2E9C-101B-9397-08002B2CF9AE}" pid="11" name="DATE">
    <vt:lpwstr>20150112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ח' הורוביץ;א' טובי;ת' שרון נתנאל</vt:lpwstr>
  </property>
  <property fmtid="{D5CDD505-2E9C-101B-9397-08002B2CF9AE}" pid="15" name="LAWLISTTMP1">
    <vt:lpwstr>70301/499.a.1:5;329.a.1;031;333;335.a;298;029;144.a.;144.b;448.a;244</vt:lpwstr>
  </property>
  <property fmtid="{D5CDD505-2E9C-101B-9397-08002B2CF9AE}" pid="16" name="LAWLISTTMP2">
    <vt:lpwstr>5227/043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15791</vt:lpwstr>
  </property>
  <property fmtid="{D5CDD505-2E9C-101B-9397-08002B2CF9AE}" pid="25" name="NEWPARTB">
    <vt:lpwstr>02</vt:lpwstr>
  </property>
  <property fmtid="{D5CDD505-2E9C-101B-9397-08002B2CF9AE}" pid="26" name="NEWPARTC">
    <vt:lpwstr>13</vt:lpwstr>
  </property>
  <property fmtid="{D5CDD505-2E9C-101B-9397-08002B2CF9AE}" pid="27" name="NEWPROC">
    <vt:lpwstr>תפח</vt:lpwstr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</vt:lpwstr>
  </property>
  <property fmtid="{D5CDD505-2E9C-101B-9397-08002B2CF9AE}" pid="39" name="NOSE21">
    <vt:lpwstr>הסדר טיעון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461;1446</vt:lpwstr>
  </property>
  <property fmtid="{D5CDD505-2E9C-101B-9397-08002B2CF9AE}" pid="50" name="NOSE31">
    <vt:lpwstr>כיבודו</vt:lpwstr>
  </property>
  <property fmtid="{D5CDD505-2E9C-101B-9397-08002B2CF9AE}" pid="51" name="NOSE310">
    <vt:lpwstr/>
  </property>
  <property fmtid="{D5CDD505-2E9C-101B-9397-08002B2CF9AE}" pid="52" name="NOSE32">
    <vt:lpwstr>הסדר טיעון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14781;15822</vt:lpwstr>
  </property>
  <property fmtid="{D5CDD505-2E9C-101B-9397-08002B2CF9AE}" pid="61" name="PADIDATE">
    <vt:lpwstr>20150128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390120150112</vt:lpwstr>
  </property>
  <property fmtid="{D5CDD505-2E9C-101B-9397-08002B2CF9AE}" pid="71" name="TYPE_N_DATE">
    <vt:lpwstr>39020150112</vt:lpwstr>
  </property>
  <property fmtid="{D5CDD505-2E9C-101B-9397-08002B2CF9AE}" pid="72" name="VOLUME">
    <vt:lpwstr/>
  </property>
  <property fmtid="{D5CDD505-2E9C-101B-9397-08002B2CF9AE}" pid="73" name="WORDNUMPAGES">
    <vt:lpwstr>18</vt:lpwstr>
  </property>
</Properties>
</file>