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16193-01-15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מיכלאשוילי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סלוטקי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אינפלד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אריאל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חזק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עפרה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איילת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קדוש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מיקי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מיכלאשוילי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סימון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FrankRuehl" w:hAnsi="FrankRuehl"/>
                <w:sz w:val="28"/>
                <w:szCs w:val="28"/>
                <w:lang w:val="en-US" w:eastAsia="en-US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lang w:val="en-US" w:eastAsia="en-US"/>
              </w:rPr>
              <w:t xml:space="preserve">: </w:t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20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28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32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34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)(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34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34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34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298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2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300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2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34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יד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יסוד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: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כבוד האדם וחירותו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 xml:space="preserve">חוק בתי המשפט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ד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1984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2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80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lang w:val="en-US" w:eastAsia="en-US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9" w:name="NGCSBookmark"/>
      <w:bookmarkStart w:id="10" w:name="NGCSBookmark"/>
      <w:bookmarkEnd w:id="10"/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השופטת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ח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סלוטקי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bookmarkStart w:id="11" w:name="ABSTRACT_START"/>
      <w:bookmarkEnd w:id="11"/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שיוחסו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הריגה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298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");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ותחמושת</w:t>
      </w:r>
      <w:r>
        <w:rPr>
          <w:rFonts w:cs="Calibri" w:ascii="Calibri" w:hAnsi="Calibri"/>
          <w:rtl w:val="true"/>
          <w:lang w:val="en-US" w:eastAsia="en-US"/>
        </w:rPr>
        <w:t xml:space="preserve">) -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וסיפא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הודאת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בעקבות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שנשמעו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התביעה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הקורבן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תעתור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תהא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חופשית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תעתור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במצטבר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ההגנה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תעתור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בחופף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מרצה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לפיצוי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יטענו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חופשי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ומיכאל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בוסקילה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יליד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1990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"), </w:t>
      </w:r>
      <w:r>
        <w:rPr>
          <w:rFonts w:ascii="Calibri" w:hAnsi="Calibri" w:cs="Calibri"/>
          <w:rtl w:val="true"/>
          <w:lang w:val="en-US" w:eastAsia="en-US"/>
        </w:rPr>
        <w:t>הינם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תושבי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אשדוד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במועדים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הרלוונטיים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קולט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38147</w:t>
      </w:r>
      <w:r>
        <w:rPr>
          <w:rFonts w:cs="Calibri" w:ascii="Calibri" w:hAnsi="Calibri"/>
          <w:lang w:val="en-US" w:eastAsia="en-US"/>
        </w:rPr>
        <w:t>RS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שנגנב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2007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),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").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לאירועים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שותפים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הלוואות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בנקאיות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ההלוואות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ותפקידו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לגבותן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ולחלוק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הרווחים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נהג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להסתיר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מסתור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התעשייה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אשדוד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לרחוב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המגדלור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מגיעים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עפר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למתקן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קידוח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המכונה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יבנה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408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המוסתר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מהכביש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תחמושת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ציוד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לניקוי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רימון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סינוור</w:t>
      </w:r>
      <w:r>
        <w:rPr>
          <w:rFonts w:cs="Calibri" w:ascii="Calibri" w:hAnsi="Calibri"/>
          <w:rtl w:val="true"/>
          <w:lang w:val="en-US" w:eastAsia="en-US"/>
        </w:rPr>
        <w:t>)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rtl w:val="true"/>
          <w:lang w:val="en-US" w:eastAsia="en-US"/>
        </w:rPr>
        <w:t>הזולה</w:t>
      </w:r>
      <w:r>
        <w:rPr>
          <w:rFonts w:cs="Calibri" w:ascii="Calibri" w:hAnsi="Calibri"/>
          <w:rtl w:val="true"/>
          <w:lang w:val="en-US" w:eastAsia="en-US"/>
        </w:rPr>
        <w:t xml:space="preserve">"). </w:t>
      </w:r>
      <w:r>
        <w:rPr>
          <w:rFonts w:ascii="Calibri" w:hAnsi="Calibri" w:cs="Calibri"/>
          <w:rtl w:val="true"/>
          <w:lang w:val="en-US" w:eastAsia="en-US"/>
        </w:rPr>
        <w:t>לעיתים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לאירועים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הזמין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למטווח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לזולה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בתאריך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13.11.13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לזולה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התכנון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בתאריך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13.11.13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שוחח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במסרונים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יפגשו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בסביבות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17:30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עבודתו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ונסע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rtl w:val="true"/>
          <w:lang w:val="en-US" w:eastAsia="en-US"/>
        </w:rPr>
        <w:t>הרכב</w:t>
      </w:r>
      <w:r>
        <w:rPr>
          <w:rFonts w:cs="Calibri" w:ascii="Calibri" w:hAnsi="Calibri"/>
          <w:rtl w:val="true"/>
          <w:lang w:val="en-US" w:eastAsia="en-US"/>
        </w:rPr>
        <w:t xml:space="preserve">"), </w:t>
      </w:r>
      <w:r>
        <w:rPr>
          <w:rFonts w:ascii="Calibri" w:hAnsi="Calibri" w:cs="Calibri"/>
          <w:rtl w:val="true"/>
          <w:lang w:val="en-US" w:eastAsia="en-US"/>
        </w:rPr>
        <w:t>לרחוב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ביאליק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סיגל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17:30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ברחוב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המגדלור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לכיוון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המטווח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והזולה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הקידוח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התכנון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הוציא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מהמסתור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מטווח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בנוכחות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בפלג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התמוטט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נפל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בגופו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הסתיר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בזולה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בקופסה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התחמושת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והרימון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מתחת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הקרקע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וחזר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לאשדוד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אסור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נפגעי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עבירת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המתה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cs="Calibri" w:ascii="Calibri" w:hAnsi="Calibri"/>
          <w:u w:val="single"/>
          <w:rtl w:val="true"/>
          <w:lang w:val="en-US" w:eastAsia="en-US"/>
        </w:rPr>
        <w:t>(</w:t>
      </w:r>
      <w:r>
        <w:rPr>
          <w:rFonts w:ascii="Calibri" w:hAnsi="Calibri" w:cs="Calibri"/>
          <w:u w:val="single"/>
          <w:rtl w:val="true"/>
          <w:lang w:val="en-US" w:eastAsia="en-US"/>
        </w:rPr>
        <w:t>להלן</w:t>
      </w:r>
      <w:r>
        <w:rPr>
          <w:rFonts w:cs="Calibri" w:ascii="Calibri" w:hAnsi="Calibri"/>
          <w:u w:val="single"/>
          <w:rtl w:val="true"/>
          <w:lang w:val="en-US" w:eastAsia="en-US"/>
        </w:rPr>
        <w:t>: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 xml:space="preserve"> "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התסקיר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"</w:t>
      </w:r>
      <w:r>
        <w:rPr>
          <w:rFonts w:cs="Calibri" w:ascii="Calibri" w:hAnsi="Calibri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למשפחתו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השאר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מבוסס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מפגשים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</w:t>
      </w:r>
      <w:r>
        <w:rPr>
          <w:rFonts w:cs="Calibri" w:ascii="Calibri" w:hAnsi="Calibri"/>
          <w:rtl w:val="true"/>
          <w:lang w:val="en-US" w:eastAsia="en-US"/>
        </w:rPr>
        <w:t xml:space="preserve">.,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הבוגרות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ועם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אחיו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הבוגר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ואביו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הבוגר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למצבו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בסיס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תיאורי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התרשמה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שרויה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הזמן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להתרשמותה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בלט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הפתאומי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והאלים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המורחבת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הקרובה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לעצירה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ולקטיעת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בנוסף</w:t>
      </w:r>
      <w:r>
        <w:rPr>
          <w:rFonts w:cs="Calibri" w:ascii="Calibri" w:hAnsi="Calibri"/>
          <w:rtl w:val="true"/>
          <w:lang w:val="en-US" w:eastAsia="en-US"/>
        </w:rPr>
        <w:t xml:space="preserve">,  </w:t>
      </w:r>
      <w:r>
        <w:rPr>
          <w:rFonts w:ascii="Calibri" w:hAnsi="Calibri" w:cs="Calibri"/>
          <w:rtl w:val="true"/>
          <w:lang w:val="en-US" w:eastAsia="en-US"/>
        </w:rPr>
        <w:t>הותיר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ואובדן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המלווים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ומציפים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מהנפגעים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וכואב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הטעימה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דודם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אחיהן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האימהות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גרושות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ואימהות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לילדים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שהיוו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לתחושה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ומשפחתיות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העתיקה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מגוריה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מצפון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הארץ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לאשדוד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האחיות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ומיוחד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המבוסס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תמיכה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ועזרה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הדדית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מזמנה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בילדיה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אחותה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ילדיהן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ולעיתים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כיחידה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ונרקמו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שתוארו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כקשרי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אחאים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קרובים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וחיוביים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התרשמה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הפתאומי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והטראגי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הותיר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להתמודד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ומצוקה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מתמשכת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בשיחות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העצב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הגעגועים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והקושי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הסופיות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ובכעס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ומשפחתו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להערכתה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בספרות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המקצועית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טראומטי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המאופיין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פתאומי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ומוערך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כואב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במיוחד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להכיל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הזעזוע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והכאב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המציף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פתאומי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מוקדמת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תוצאות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בתפקוד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ומעכב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להתאושש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מהאבל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הקרבה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לפוגע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מהווה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נפרד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המעצים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להתמודד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יקירם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הקרובים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שנרקמו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ונשמרו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לנפגעים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מנשוא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מעשהו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נתפס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כמעין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ניפץ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הלכידות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היחסים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הקרובים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וההדדיים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אשליה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הובילו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לקרע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ולנתק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יקירם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מורחבת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תמיכה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מציינת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היבט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המעצים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הטרגדיה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אצל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הנפגעים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להתמודד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האכזריות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והסתמיות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שבפגיעה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האמונה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קינאה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ממשיכה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להטריד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ולייסרם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נחווה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שסכנות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יקירם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מצויים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והשמחה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ששררה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הוסיפה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בלטו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הכעס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והזעם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הגוברים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הזמן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שבחווייתם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מיכאל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כלשונם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יקירם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ניהלה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שיגרה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חוו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מלוכדת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צלחו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וקשיים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לעתיד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התמודדות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טראומה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שחוו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סביב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ואהוב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טראגיות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ואלימות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קרובים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ומצבו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בולטים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בתפקוד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ובמצבם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הרגשי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להתרשמותה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וחצי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מתקשים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ולהאמין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יוכלו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תפקוד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מספקות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התחומים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להערכתה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הנפגעים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זקוקים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לתמיכה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ועזרה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בהתמודדות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טראומת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האובדן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הנפגעים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מאמינים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שיוכל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להחזיר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והצדק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ייתכן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יאפשר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פנויים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מצבם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הרגשי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והתפקודי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במשמעות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המלצת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מרכיבי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כספי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אסופת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פסיקה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סיפרה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בתפקוד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היומיומי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סיפרה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נאלצה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להתמודד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ילד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מתמודדת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בפתח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הובאו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והנימוקים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שהביאו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13.11.13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מיכאל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בוסקילה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בפלג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קטלניות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לארוחת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החיפושים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בחיפושים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כחשוד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להעמידו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שוחרר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ממעצר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החקירה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חקירה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ascii="Calibri" w:hAnsi="Calibri" w:cs="Calibri"/>
          <w:rtl w:val="true"/>
          <w:lang w:val="en-US" w:eastAsia="en-US"/>
        </w:rPr>
        <w:t>נ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בעקבות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החקירה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הוסיפה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התבסס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נסיבתיות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שלהשקפתה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להרשיע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להוכחה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העובדתי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והטעימה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הכחיש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הכחיש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הכחיש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לזהות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שנכחו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כידוע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התנהל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ונשמעו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הוכחות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ולבסוף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בנוסח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לבסוף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עיקרו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בוצע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מגיעים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הוכחות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בגרסה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וכו</w:t>
      </w:r>
      <w:r>
        <w:rPr>
          <w:rFonts w:cs="Calibri" w:ascii="Calibri" w:hAnsi="Calibri"/>
          <w:rtl w:val="true"/>
          <w:lang w:val="en-US" w:eastAsia="en-US"/>
        </w:rPr>
        <w:t xml:space="preserve">'.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בהיותה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התביעה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לחפש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האינטרס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האפשר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הדילמה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להמשיך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ולנהל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בהינתן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ניכר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בצידו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וודאות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מוחלטת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האירוע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לשמוע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לטענותיה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שותפה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משאנו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וכבולים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שמקימות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התכנון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כידוע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צריכים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מנקודת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לתוצאה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מבחינה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המסקנה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המתקבלת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בהריגת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מגולל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המשיקות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בסופו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הראייתי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להוכיח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שאחז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ממושך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גישור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בהריגה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רחב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ותלוי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ונסיבותיו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טוענים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למתחם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בהסתכלות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התחתון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</w:t>
      </w:r>
      <w:r>
        <w:rPr>
          <w:rFonts w:ascii="Calibri" w:hAnsi="Calibri" w:cs="Calibri"/>
          <w:rtl w:val="true"/>
          <w:lang w:val="en-US" w:eastAsia="en-US"/>
        </w:rPr>
        <w:t>י</w:t>
      </w:r>
      <w:r>
        <w:rPr>
          <w:rFonts w:ascii="Calibri" w:hAnsi="Calibri" w:cs="Calibri"/>
          <w:rtl w:val="true"/>
          <w:lang w:val="en-US" w:eastAsia="en-US"/>
        </w:rPr>
        <w:t>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המודגש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נטילת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לזהות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נהרג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40/10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במערער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שהורשע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ונידון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שהתחיל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לטענתה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בתמצית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הגדול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ייחודיות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מצומצם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וקטן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להשלכות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והתוצאות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ההרסניות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בקטטה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נשלף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ונסיבותיה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לפוגע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ראש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נפרד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והקטיעה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לשיטת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מיוחדות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מעידות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החשיבות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השלכותיו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הכלכלי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השתתפה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בחיפושים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נאלצה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לחזות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בזיכרון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טראומתי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וחודרני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אצל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ואצל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זיכרון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שילווה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חייהם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מכביד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שמונה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רכוש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זלזול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בגורמי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הפרת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גניבות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וכמובן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שאימץ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אורח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אסיר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השפוט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38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שמופעלים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ומעידים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אופיו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לסיכום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בניכוי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14.11.13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13.12.16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במצטבר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ושהתקופה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החופפת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למאסרו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בחשבון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והדגיש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הפורש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התגלו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נסיבתי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מבחינה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אקדמית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מסתיים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במתווה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הנכון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המתווה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בהגינותה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מוקדם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מוציא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מחזיר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ספק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מאלו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ונוראית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הבנתו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אפס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ליהנות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מהספק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אמוציות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בסופו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לשלם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הייצוג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היעדר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תקציב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2934/12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+ </w:t>
      </w:r>
      <w:hyperlink r:id="rId30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3773/12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שאול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זגורי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זגורי</w:t>
      </w:r>
      <w:r>
        <w:rPr>
          <w:rFonts w:cs="Calibri" w:ascii="Calibri" w:hAnsi="Calibri"/>
          <w:rtl w:val="true"/>
          <w:lang w:val="en-US" w:eastAsia="en-US"/>
        </w:rPr>
        <w:t xml:space="preserve">")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מעמיק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שנוצר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בחשבון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נטילת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ההודאה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החיסכון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המסוים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השיפוטי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הפורש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והכרעה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ובעיקר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קדושת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האדם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מקודש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אנושית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לקדושת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חיי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האדם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מטבעה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שמור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בשורה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הראשונה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ערכי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חברה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אנושית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בכלל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חיים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חברה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מנין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קיפוד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חיי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אדם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מחייב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לשנים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ארוכות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...."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  <w:t>(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7637/05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יוסף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[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5.7.2007</w:t>
      </w:r>
      <w:r>
        <w:rPr>
          <w:rFonts w:cs="Calibri" w:ascii="Calibri" w:hAnsi="Calibri"/>
          <w:rtl w:val="true"/>
          <w:lang w:val="en-US" w:eastAsia="en-US"/>
        </w:rPr>
        <w:t xml:space="preserve">)]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יוסף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>)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נאמר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ההריגה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משתרעת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קשת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מקרים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תאונות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דרכים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קשות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בפזיזות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ורשלנות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גבוהות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תגרות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משתתפות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שבהן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מופעל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סכסוכים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אינדיבידואליים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אלימים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ועוד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בנידון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דידן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עסקינן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ברף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הגבוה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ואכן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שהושת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המערער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נמצא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-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בהתאם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-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במקום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גבוה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במנעד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בגין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הגבוה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ביותר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הושתו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בגינה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עשרים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hyperlink r:id="rId3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1456/01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חדד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נ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מדינת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ישראל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ד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נו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cs="Calibri" w:ascii="Calibri" w:hAnsi="Calibri"/>
          <w:b/>
          <w:bCs/>
          <w:lang w:val="en-US" w:eastAsia="en-US"/>
        </w:rPr>
        <w:t>1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 </w:t>
      </w:r>
      <w:r>
        <w:rPr>
          <w:rFonts w:cs="Calibri" w:ascii="Calibri" w:hAnsi="Calibri"/>
          <w:b/>
          <w:bCs/>
          <w:lang w:val="en-US" w:eastAsia="en-US"/>
        </w:rPr>
        <w:t>409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hyperlink r:id="rId3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2090/06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נ</w:t>
      </w:r>
      <w:r>
        <w:rPr>
          <w:b/>
          <w:bCs/>
          <w:u w:val="single"/>
          <w:rtl w:val="true"/>
          <w:lang w:val="en-US" w:eastAsia="en-US"/>
        </w:rPr>
        <w:t xml:space="preserve">' </w:t>
      </w:r>
      <w:r>
        <w:rPr>
          <w:b/>
          <w:b/>
          <w:bCs/>
          <w:u w:val="single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); </w:t>
      </w:r>
      <w:hyperlink r:id="rId34">
        <w:bookmarkStart w:id="14" w:name="12eef3b862cb316d_casename_body"/>
        <w:bookmarkEnd w:id="14"/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1448/05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קלמנטייב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)).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במקרה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דנא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הוטל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שמונה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עשרה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שנצבר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כנאמר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חמש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ניסיון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ההריגה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כאן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המקום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לציין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ההודעה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קמא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הסדר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הטיעון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לאחר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הגישור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ברי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שהרף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העליון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המוסכם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27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פרוטוקול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</w:t>
      </w:r>
      <w:r>
        <w:rPr>
          <w:rFonts w:cs="Calibri" w:ascii="Calibri" w:hAnsi="Calibri"/>
          <w:b/>
          <w:bCs/>
          <w:rtl w:val="true"/>
          <w:lang w:val="en-US" w:eastAsia="en-US"/>
        </w:rPr>
        <w:t>-</w:t>
      </w:r>
      <w:r>
        <w:rPr>
          <w:rFonts w:cs="Calibri" w:ascii="Calibri" w:hAnsi="Calibri"/>
          <w:b/>
          <w:bCs/>
          <w:lang w:val="en-US" w:eastAsia="en-US"/>
        </w:rPr>
        <w:t>14.10.10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עמ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cs="Calibri" w:ascii="Calibri" w:hAnsi="Calibri"/>
          <w:b/>
          <w:bCs/>
          <w:lang w:val="en-US" w:eastAsia="en-US"/>
        </w:rPr>
        <w:t>194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שהושתה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מצויה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בגדרי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ההסדר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שוב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אפשר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להטעים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בכדי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הושתה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כאשר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הושתה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בשפל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המדרגה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האנושי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".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40/10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קונסטנטין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[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30.3.2011</w:t>
      </w:r>
      <w:r>
        <w:rPr>
          <w:rFonts w:cs="Calibri" w:ascii="Calibri" w:hAnsi="Calibri"/>
          <w:rtl w:val="true"/>
          <w:lang w:val="en-US" w:eastAsia="en-US"/>
        </w:rPr>
        <w:t>)]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קונסטנטין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>)).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מצויה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הגבוה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התעשייה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אשדוד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גנוב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תוכנית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שוחח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מטווח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בנוכחות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בפלג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וגרמו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למותו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המוסכמות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שהסכימה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צריכים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מנקודת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אלמוני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אלמוני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הפתיע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בנוכחות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לפלג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בהנחה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בנוכחות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המבודד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ואולם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זהותו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ומלוא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זגורי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ההגנה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היורה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שמואל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זגורי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ונידון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המערער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שאול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זגורי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להריגה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שעונשה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כידוע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מחצית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בחיקוק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העיקרי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וחצי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ודוק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השותפות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שלגביו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נפקא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מינא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מהם</w:t>
      </w:r>
      <w:r>
        <w:rPr>
          <w:rFonts w:cs="Calibri" w:ascii="Calibri" w:hAnsi="Calibri"/>
          <w:rtl w:val="true"/>
          <w:lang w:val="en-US" w:eastAsia="en-US"/>
        </w:rPr>
        <w:t>. (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29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מושתתות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מלכתחילה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נסיבתיות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ואשמת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להוכחה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הובהרו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והעצוב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צרכם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נאמר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  <w:t>"....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ועובדה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הורשעו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מכוח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דיני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השותפות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וחוסר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האפשרות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לקבוע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בוודאות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חלקו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באירוע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נסיבה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שההתייחסות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הענישתית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אליה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פשוטה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שנגזר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המשיבים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הולם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הנסיבות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ואינו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נוטה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לחומרה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הדוגמאות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שהובאו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בטענה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נמצאו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מקרים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מעטים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מחמירה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יותר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חמש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עשרה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וארבע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עשרה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hyperlink r:id="rId3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7556/03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שוורץ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cs="Calibri" w:ascii="Calibri" w:hAnsi="Calibri"/>
          <w:b/>
          <w:bCs/>
          <w:rtl w:val="true"/>
          <w:lang w:val="en-US" w:eastAsia="en-US"/>
        </w:rPr>
        <w:t>) 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-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כתארו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אז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-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חשין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); </w:t>
      </w:r>
      <w:hyperlink r:id="rId3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8227/05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גרשנקוף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cs="Calibri" w:ascii="Calibri" w:hAnsi="Calibri"/>
          <w:b/>
          <w:bCs/>
          <w:rtl w:val="true"/>
          <w:lang w:val="en-US" w:eastAsia="en-US"/>
        </w:rPr>
        <w:t>) 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השופטת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ארבל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); </w:t>
      </w:r>
      <w:hyperlink r:id="rId4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3251/05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אושרי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מלול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cs="Calibri" w:ascii="Calibri" w:hAnsi="Calibri"/>
          <w:b/>
          <w:bCs/>
          <w:rtl w:val="true"/>
          <w:lang w:val="en-US" w:eastAsia="en-US"/>
        </w:rPr>
        <w:t>) 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גרוניס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)),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אמנם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במקרים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פגיעה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באברי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גוף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מועדים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"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יותר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לטענת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המערערים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ליצור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מדרג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ענישתי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ביחס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לחלקו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באירוע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בהתחשב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נמצא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ביצע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הדקירה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הקטלנית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שאין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להלין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עצמם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בשתיקתם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אפשרו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להפיג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הערפל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לחלקו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באירוע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אפוא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לטענה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הקשורה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באינדיבידואליות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הענישה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..."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ראה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יוסף</w:t>
      </w:r>
      <w:r>
        <w:rPr>
          <w:rFonts w:cs="Calibri" w:ascii="Calibri" w:hAnsi="Calibri"/>
          <w:rtl w:val="true"/>
          <w:lang w:val="en-US" w:eastAsia="en-US"/>
        </w:rPr>
        <w:t xml:space="preserve">").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סנגורו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הערפל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זגורי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לטעמה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וחשובים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זגורי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המערערים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מאבקי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מגוריהם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הקרע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סכסוך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הדדיים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  <w:r>
        <w:rPr>
          <w:rFonts w:ascii="Calibri" w:hAnsi="Calibri" w:cs="Calibri"/>
          <w:rtl w:val="true"/>
          <w:lang w:val="en-US" w:eastAsia="en-US"/>
        </w:rPr>
        <w:t>אנשים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דקרו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שמואל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זגורי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בלחיו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לקשירת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שקשרו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המערערים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זגורי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להריגתו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שמואל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זגורי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הפיצוי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זגורי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הוסכם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המערערים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ישלמו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לאלמנת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Times New Roman" w:hAnsi="Times New Roman" w:cs="Times New Roman"/>
          <w:rtl w:val="true"/>
          <w:lang w:val="en-US" w:eastAsia="en-US"/>
        </w:rPr>
        <w:t>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לטיעונים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להבדיל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מכביד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נורמטיבי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כלשהו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המניע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הוברר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בוודאי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תרומה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הפקיד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לטיעונים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בקיפוח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ועצום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חייו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קופחו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אמו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אחיותיו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נותרו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התמודדות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טראומה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שחוו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סביב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ואהוב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טראגיות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ואלימות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מתקשים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הנפגעים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ולהאמין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יוכלו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תפקוד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מספקות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התחומים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הותיר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אצל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וגעגועים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ומתעצמים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להערכת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זקוקים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לסיוע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לתמיכה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ועזרה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בהתמודדות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טראומת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הבן</w:t>
      </w:r>
      <w:r>
        <w:rPr>
          <w:rFonts w:cs="Calibri" w:ascii="Calibri" w:hAnsi="Calibri"/>
          <w:rtl w:val="true"/>
          <w:lang w:val="en-US" w:eastAsia="en-US"/>
        </w:rPr>
        <w:t xml:space="preserve">/ </w:t>
      </w:r>
      <w:r>
        <w:rPr>
          <w:rFonts w:ascii="Calibri" w:hAnsi="Calibri" w:cs="Calibri"/>
          <w:rtl w:val="true"/>
          <w:lang w:val="en-US" w:eastAsia="en-US"/>
        </w:rPr>
        <w:t>האח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אמותיהם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אחיות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וגדל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העצום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צפוי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והכאב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שייגרמו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ולאחיו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לדאבון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בפנינו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להוסיף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מכביד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רכוש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מזוין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לתקופה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מצטברת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18.6.14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נטילת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בהודאת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ובלקיחת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וודאות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יאפשר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פנויים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מצבם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הרגשי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והתפקודי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מהתסקיר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בחשבון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הגדול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מצאתי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כלשהי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חופשה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להינתן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אלמלא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המעצר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זכאי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המכביד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הרשעתו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והרשעותיו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לבקשה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חופפת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שעלולה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שגוי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ולחטוא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למטרת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הגמול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למטרת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ההרתעה</w:t>
      </w:r>
      <w:r>
        <w:rPr>
          <w:rFonts w:cs="Calibri" w:ascii="Calibri" w:hAnsi="Calibri"/>
          <w:rtl w:val="true"/>
          <w:lang w:val="en-US" w:eastAsia="en-US"/>
        </w:rPr>
        <w:t>. (</w:t>
      </w:r>
      <w:r>
        <w:rPr>
          <w:rFonts w:ascii="Calibri" w:hAnsi="Calibri" w:cs="Calibri"/>
          <w:rtl w:val="true"/>
          <w:lang w:val="en-US" w:eastAsia="en-US"/>
        </w:rPr>
        <w:t>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קונסטנטין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אציע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לחבריי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הנכבדים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הבאים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בניכוי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שאינם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חופפים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למאסרו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14.11.13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13.12.13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במצטבר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פשע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יפצה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בסכום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258,000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150,000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והיתרה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תחולק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שווים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הפרטים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הפיצויים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ימסרו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למזכירות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הערות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לחוות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דעת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השופט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אינפלד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שעיינתי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אינפלד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ברצוני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חברי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אינפלד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יוצא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הרחבת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הפחותה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העומדת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בהערכת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דעתו</w:t>
      </w:r>
      <w:r>
        <w:rPr>
          <w:rFonts w:cs="Calibri" w:ascii="Calibri" w:hAnsi="Calibri"/>
          <w:rtl w:val="true"/>
          <w:lang w:val="en-US" w:eastAsia="en-US"/>
        </w:rPr>
        <w:t xml:space="preserve">). 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ואולם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ראשית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נאמר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במפורש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אדישות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הוציא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מהמסתור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מטווח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בנוכחות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כשהנאשם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אדיש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לאפשרות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שהמנוח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ימות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כתוצאה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מהירי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בפלג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ascii="Calibri" w:hAnsi="Calibri" w:cs="Calibri"/>
          <w:rtl w:val="true"/>
          <w:lang w:val="en-US" w:eastAsia="en-US"/>
        </w:rPr>
        <w:t>קליע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....."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שנית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ותחמושת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העבריינית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כיפה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אדומה</w:t>
      </w:r>
      <w:r>
        <w:rPr>
          <w:rFonts w:cs="Calibri" w:ascii="Calibri" w:hAnsi="Calibri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קיומו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להניח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הוציא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בנוכחות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בנוכחות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בפלג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מבודד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לזולה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הוסתרו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והתחמושת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להניח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המוות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להניח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נאמר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הירי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ולכן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הירי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שייעשה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eastAsia="Calibri" w:cs="Calibri" w:ascii="Calibri" w:hAnsi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בפרוטוקול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734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לפרוטוקול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המסתור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). 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אינפלד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ומשהנחת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נראית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מוטעית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מרשלנות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המוות</w:t>
      </w:r>
      <w:r>
        <w:rPr>
          <w:rFonts w:cs="Calibri" w:ascii="Calibri" w:hAnsi="Calibri"/>
          <w:rtl w:val="true"/>
          <w:lang w:val="en-US" w:eastAsia="en-US"/>
        </w:rPr>
        <w:t>.</w:t>
      </w:r>
    </w:p>
    <w:tbl>
      <w:tblPr>
        <w:tblpPr w:vertAnchor="text" w:horzAnchor="page" w:leftFromText="180" w:rightFromText="180" w:tblpX="1277" w:tblpY="18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37"/>
      </w:tblGrid>
      <w:tr>
        <w:trPr>
          <w:trHeight w:val="1258" w:hRule="atLeast"/>
        </w:trPr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352" w:hRule="atLeast"/>
        </w:trPr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השופט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אינפלד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לאחר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עיון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בחוות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דעתה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חברתי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כב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השופטת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סלוטקי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נאלץ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לחלוק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חלק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מנימוקיה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מסקנתה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חומרת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העבירה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נולדו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ונקראו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מיכאל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האימהות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טראומה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90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חיפשו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קרבתה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מהצפון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להתגורר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באשדוד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אחותה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משפחותיהם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התפתחה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ומשמעותית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האחיות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תמכו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טיפלו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וטיפלו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בילדיה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השתקמה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מהטראומה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ההיא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והתפתחה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הדודים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מיכאל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ומיכאל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גדלו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שיתפו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התנהלה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משלוותה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מיכאל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נעדר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חיפושים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נתגלתה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הירויה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לעיני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ואמו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התברר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באלימות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מבהילה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בשוליים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החשוכים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מולדתו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כחלוף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שבועות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לטראומה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החדשה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זעזוע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נפל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החשד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נודע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נעשתה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התועבה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מיכאל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מיכאל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לדאבון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ובמיוחד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בקרבה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האנושיות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המתה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אשמה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במשפחתו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הריגת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וריסוק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המשפחתית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ובשרה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עתידו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רגשיים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מבחינה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מוסרית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עוונו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מנשוא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העיקרון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מחייב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יבטא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מידת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אשמו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הנאשם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מלמדנו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מושפע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בנסיבותיו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לטעמי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ניסוחו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הגבוה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לשקף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האשמה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הנכונה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ריבוי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בחזהו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משיק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לטעמי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הובא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חופשי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מנוס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בפסיקה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בהקשר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לדוגמא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512/13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פלוני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4.12.13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7777/12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בלקאר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25.3.14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4301/15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פינטו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5.1.16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לעומת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השאירו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צריך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עיון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וכך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6799/14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אופיר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16.3.15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המפתיע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2524/15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שפרנוביץ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8.9.16</w:t>
      </w:r>
      <w:r>
        <w:rPr>
          <w:rFonts w:cs="Calibri" w:ascii="Calibri" w:hAnsi="Calibri"/>
          <w:rtl w:val="true"/>
          <w:lang w:val="en-US" w:eastAsia="en-US"/>
        </w:rPr>
        <w:t>)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דומני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הפוטרים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נאמרו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המוסכם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מטבע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הדברים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מוסכם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טווח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מוסכם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עותרת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הרשאי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חופשי</w:t>
      </w:r>
      <w:r>
        <w:rPr>
          <w:rFonts w:cs="Calibri" w:ascii="Calibri" w:hAnsi="Calibri"/>
          <w:rtl w:val="true"/>
          <w:lang w:val="en-US" w:eastAsia="en-US"/>
        </w:rPr>
        <w:t xml:space="preserve">"), </w:t>
      </w:r>
      <w:r>
        <w:rPr>
          <w:rFonts w:ascii="Calibri" w:hAnsi="Calibri" w:cs="Calibri"/>
          <w:rtl w:val="true"/>
          <w:lang w:val="en-US" w:eastAsia="en-US"/>
        </w:rPr>
        <w:t>סבור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עתירת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חורגת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לגמרי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מנוס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מלבחון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בחינה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חשובות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האחת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מכיוון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להניח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שציינה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להניח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הנקודה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החשובה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נגעה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מיוחסת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i/>
          <w:i/>
          <w:iCs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זולה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הדגשה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הקשיתי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המוות</w:t>
      </w:r>
      <w:r>
        <w:rPr>
          <w:rFonts w:cs="Calibri" w:ascii="Calibri" w:hAnsi="Calibri"/>
          <w:rtl w:val="true"/>
          <w:lang w:val="en-US" w:eastAsia="en-US"/>
        </w:rPr>
        <w:t xml:space="preserve">?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נרשם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היטב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בתמליל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המוקלט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732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cs="Calibri" w:ascii="Calibri" w:hAnsi="Calibri"/>
          <w:lang w:val="en-US" w:eastAsia="en-US"/>
        </w:rPr>
        <w:t>735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22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עיקרי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בתמלול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ברור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כולם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בעמ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cs="Calibri" w:ascii="Calibri" w:hAnsi="Calibri"/>
          <w:lang w:val="en-US" w:eastAsia="en-US"/>
        </w:rPr>
        <w:t>735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הובהרו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בעמ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cs="Calibri" w:ascii="Calibri" w:hAnsi="Calibri"/>
          <w:lang w:val="en-US" w:eastAsia="en-US"/>
        </w:rPr>
        <w:t>744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במובן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הפשוט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והרגיל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קיומו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להניח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נטל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התובעת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אישרה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אחריותו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נובעת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hyperlink r:id="rId5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מסעיף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</w:t>
      </w:r>
      <w:hyperlink r:id="rId5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ומבחינה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נורמטיבית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מבצע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אגב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עשיית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היישוב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עשייתה</w:t>
      </w:r>
      <w:r>
        <w:rPr>
          <w:rFonts w:cs="Calibri" w:ascii="Calibri" w:hAnsi="Calibri"/>
          <w:rtl w:val="true"/>
          <w:lang w:val="en-US" w:eastAsia="en-US"/>
        </w:rPr>
        <w:t xml:space="preserve">... </w:t>
      </w:r>
      <w:r>
        <w:rPr>
          <w:rFonts w:ascii="Calibri" w:hAnsi="Calibri" w:cs="Calibri"/>
          <w:rtl w:val="true"/>
          <w:lang w:val="en-US" w:eastAsia="en-US"/>
        </w:rPr>
        <w:t>יישאו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הנותרים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יישאו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המבצעים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הנותרים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>".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הנגזרת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נצפתה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מבלבלת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האינטואיציה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ומחמיר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ואחריותו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יחסית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נתפס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משותפת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כללה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שקושר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39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השגתה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טבעה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מסתברת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מהלך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האנגלי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היסטורית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המשותפת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התכוון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כקשורה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סקירת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המופיעה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האנגלי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בהלכה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החדשה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R v. Jogee</w:t>
      </w:r>
      <w:r>
        <w:rPr>
          <w:rFonts w:cs="Calibri" w:ascii="Calibri" w:hAnsi="Calibri"/>
          <w:lang w:val="en-US" w:eastAsia="en-US"/>
        </w:rPr>
        <w:t xml:space="preserve"> [2016] UKSC 8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עמדה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היסטורית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לכאורה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מועצת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המלך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מהונג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קונג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 xml:space="preserve">Chan Wing-Siu </w:t>
      </w:r>
      <w:r>
        <w:rPr>
          <w:rFonts w:cs="Calibri" w:ascii="Calibri" w:hAnsi="Calibri"/>
          <w:lang w:val="en-US" w:eastAsia="en-US"/>
        </w:rPr>
        <w:t>[1985] AC 168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שותפו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צפויה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Jogee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הבהיר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האנגלי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מלפניהם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Chan Wing-Siu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מקורית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פיזית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צפויה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הפיזי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39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העיקרי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מוגבלת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הדורשות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מיוחדת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מותר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חובה</w:t>
      </w:r>
      <w:r>
        <w:rPr>
          <w:rFonts w:cs="Calibri" w:ascii="Calibri" w:hAnsi="Calibri"/>
          <w:rtl w:val="true"/>
          <w:lang w:val="en-US" w:eastAsia="en-US"/>
        </w:rPr>
        <w:t xml:space="preserve">";  </w:t>
      </w:r>
      <w:r>
        <w:rPr>
          <w:rFonts w:ascii="Calibri" w:hAnsi="Calibri" w:cs="Calibri"/>
          <w:rtl w:val="true"/>
          <w:lang w:val="en-US" w:eastAsia="en-US"/>
        </w:rPr>
        <w:t>ויתרה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משדל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מסייע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פחותה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ונגזרת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הממשי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כלשון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מציאות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העבריינית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פזיזות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מספקות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החוקתי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כידוע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חוקתיות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יסוד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: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כבוד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האדם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וחירותו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נדחתה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4424/98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סילגדו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ישראל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נו</w:t>
        </w:r>
      </w:hyperlink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cs="Calibri" w:ascii="Calibri" w:hAnsi="Calibri"/>
          <w:lang w:val="en-US" w:eastAsia="en-US"/>
        </w:rPr>
        <w:t>529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cs="Calibri" w:ascii="Calibri" w:hAnsi="Calibri"/>
          <w:lang w:val="en-US" w:eastAsia="en-US"/>
        </w:rPr>
        <w:t>2002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עוררים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מסקנה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הרחבת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הרחבה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כפולה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הרחבה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והרחבה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סובייקטיבית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הנדרש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לדוגמא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השפעת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המהפכה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החוקתית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המהותי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בעקבות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בפרשת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סילגדו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ספר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ברק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: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עיונים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בהגותו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השיפוטית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אהרן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התשס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ט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בעמ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cs="Calibri" w:ascii="Calibri" w:hAnsi="Calibri"/>
          <w:lang w:val="en-US" w:eastAsia="en-US"/>
        </w:rPr>
        <w:t>325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סילגדו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היטב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בהעדר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מחשבה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...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.... </w:t>
      </w:r>
      <w:r>
        <w:rPr>
          <w:rFonts w:ascii="Calibri" w:hAnsi="Calibri" w:cs="Calibri"/>
          <w:rtl w:val="true"/>
          <w:lang w:val="en-US" w:eastAsia="en-US"/>
        </w:rPr>
        <w:t>פוגעת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בכבוד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האדם</w:t>
      </w:r>
      <w:r>
        <w:rPr>
          <w:rFonts w:cs="Calibri" w:ascii="Calibri" w:hAnsi="Calibri"/>
          <w:rtl w:val="true"/>
          <w:lang w:val="en-US" w:eastAsia="en-US"/>
        </w:rPr>
        <w:t>" (</w:t>
      </w:r>
      <w:r>
        <w:rPr>
          <w:rFonts w:ascii="Calibri" w:hAnsi="Calibri" w:cs="Calibri"/>
          <w:rtl w:val="true"/>
          <w:lang w:val="en-US" w:eastAsia="en-US"/>
        </w:rPr>
        <w:t>כלשונו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עומדת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ההגבלה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יסוד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: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כבוד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האדם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וחירותו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והתכלית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הרתעה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המתבצעות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יוצרות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ומוגבר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לחברה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מיכולת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היכולת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הבודד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בחבורה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מטרתה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62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)(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לעודד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עבריינים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-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הפועלים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בצוותא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לביצוע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מקורית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" –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למנוע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אגב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ביצוע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המקורית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ביצועה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שונה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נוספת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היישוב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עשייתה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הבוחר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מקורית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כגון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שוד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חייב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בחשבון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להסתבך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למצוא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כגון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שאינה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בשליטתו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כלשונו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ההדגשה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נוספה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בפרשת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סילגדו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הרחבת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מידתית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שמתרשל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שלכתחילה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לדרכו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אדישות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ההרתעה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ועידוד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שותפים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שרשאי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חובה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במקרים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צוין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המקורית</w:t>
      </w:r>
      <w:r>
        <w:rPr>
          <w:rFonts w:cs="Calibri" w:ascii="Calibri" w:hAnsi="Calibri"/>
          <w:rtl w:val="true"/>
          <w:lang w:val="en-US" w:eastAsia="en-US"/>
        </w:rPr>
        <w:t xml:space="preserve">) -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יהא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לרוב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יותר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שיוטל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המבצע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הנוספת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השונה</w:t>
      </w:r>
      <w:r>
        <w:rPr>
          <w:rFonts w:cs="Calibri" w:ascii="Calibri" w:hAnsi="Calibri"/>
          <w:rtl w:val="true"/>
          <w:lang w:val="en-US" w:eastAsia="en-US"/>
        </w:rPr>
        <w:t>" (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בפסקה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ההדגשה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נוספה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פרופ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במאמרה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מבקרת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מדגישה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ההתמודדות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המיוחד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בעבריינות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בחבורה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בסעיפים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המחמירים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המתבצעות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טוענת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מכללי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בייחוס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מוצדקת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תועלתניים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מציעה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דווקא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יצירת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צפויה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ומזכירה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שעצם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צפייה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בעצמה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להרחיב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מסתבר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שהורשעו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סילגדו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שהסתיים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היורה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300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ונדון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השאר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השותפים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שהורשעו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6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) "</w:t>
      </w:r>
      <w:r>
        <w:rPr>
          <w:rFonts w:ascii="Calibri" w:hAnsi="Calibri" w:cs="Calibri"/>
          <w:rtl w:val="true"/>
          <w:lang w:val="en-US" w:eastAsia="en-US"/>
        </w:rPr>
        <w:t>דניאל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עומר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6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300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זוהי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פזיזות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ולפיכך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המגבלה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6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סיפא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המחוזי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למדי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5918/99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זבידאת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15.1.04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לטעמי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היטב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7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300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לגביהם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לעומת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אצלנו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ועוד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שיצאו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השוד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אצלנו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זולה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והביא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שייפגע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שייעשה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להבחנות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חשוב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להדגיש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מלכתחילה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תוכנית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ובחבורה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מושפע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בהחלט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הנוספת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הרצח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חורגת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שתוכננה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לכתחילה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וכך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ההשפעה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החורגת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מוסמך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המקורית</w:t>
      </w:r>
      <w:r>
        <w:rPr>
          <w:rFonts w:cs="Calibri" w:ascii="Calibri" w:hAnsi="Calibri"/>
          <w:rtl w:val="true"/>
          <w:lang w:val="en-US" w:eastAsia="en-US"/>
        </w:rPr>
        <w:t xml:space="preserve">! </w:t>
      </w:r>
      <w:r>
        <w:rPr>
          <w:rFonts w:ascii="Calibri" w:hAnsi="Calibri" w:cs="Calibri"/>
          <w:rtl w:val="true"/>
          <w:lang w:val="en-US" w:eastAsia="en-US"/>
        </w:rPr>
        <w:t>אצלנו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7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נושאת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התוכנית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שתוכננה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מוגדרת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להניח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שעונשה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ממילא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משמע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שנדונו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בפסיקה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7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7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המאפשרת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ספרתי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המשמעות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הדרמטית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7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המבטא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באופייה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ומאתגרת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מבחינה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עיונית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וחוקתית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לנקוט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במתינות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משמע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7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מעמידה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אשמו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האלימות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פחותה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אלמלא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הרחבת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האחריות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החריגה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נובעת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hyperlink r:id="rId7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מסעיף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לחוק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המרבי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שניתן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להשית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פחותה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בהרבה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תופעה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חריגה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הרחבת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האחריות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הפחותה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העומדת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ביסוד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האחריות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חייבות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לקבל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ביטוי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בהערכת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מתחם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הראוי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המצטרף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ההנמקה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סילגדו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ההצדקה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רשלנות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קושרה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הרתעת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להרתיע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ואבדן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השותפים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שתתבצע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מאז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התקופה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ניתן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פסק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הדין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סילגדו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ירד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קרנו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שיקול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ההרתעה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מתבטא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7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הלימה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כשיקול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מרכזי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הרתעת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תפקיד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בהחלט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8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ז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היום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ההתחשבות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מותנית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עובדתיות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קיום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בהרתעה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וקיומו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הקונקרטי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להרתעה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הרתעת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להשפיע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i/>
          <w:i/>
          <w:iCs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השינוי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הקביעה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חוקתיות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8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תישאר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מיוסדת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איתנים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הדוקטרינה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התנהגות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חופשית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במקור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בדמות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בהתנהגות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פסולה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דוקטרינה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מוצדקת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בוודאי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הבאה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8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יד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hyperlink r:id="rId83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),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84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י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סיפא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8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ודוק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8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ההנחה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שהכניסה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בהתנהגות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פסולה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מקום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למרות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הבסיס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החוקתי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המוצק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לטעמי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עדיין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ליתן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משקל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שמדובר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בחריג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ולכך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שהיסוד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הנפשי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הנוספת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עצמה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פחות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בעוצמתו</w:t>
      </w:r>
      <w:r>
        <w:rPr>
          <w:rFonts w:cs="Calibri" w:ascii="Calibri" w:hAnsi="Calibri"/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המתחם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עתה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שאוזכרו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קיפוד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פתיל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הטראומה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והבגידה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במשפחתו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היבטים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חשובים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ראשית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במישור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וכלל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תחמושת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ציוד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רימון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סינוור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מורשה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במיוחד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הנורא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התממש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וברוטאלית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ובקיפוח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התנהלות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מעוררת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בחבר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בבוגדנותו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המכוערת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תחבולה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ומרמה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להביאו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צופיה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מונח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במסתור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8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הבאת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דווקא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מהווה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משמעותית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לקריאה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מטווח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בנוכחות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בפלג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בהמשך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מלפנים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ומאחור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מניחים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המסקנה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ימות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ודוק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אדישות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קלות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כהגדרתם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8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8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>. "</w:t>
      </w:r>
      <w:r>
        <w:rPr>
          <w:rFonts w:ascii="Calibri" w:hAnsi="Calibri" w:cs="Calibri"/>
          <w:rtl w:val="true"/>
          <w:lang w:val="en-US" w:eastAsia="en-US"/>
        </w:rPr>
        <w:t>אדישות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לעיכול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כיצד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לעיניך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cs="Calibri" w:ascii="Calibri" w:hAnsi="Calibri"/>
          <w:rtl w:val="true"/>
          <w:lang w:val="en-US" w:eastAsia="en-US"/>
        </w:rPr>
        <w:t xml:space="preserve">?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הנורא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משמע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cs="Calibri" w:ascii="Calibri" w:hAnsi="Calibri"/>
          <w:rtl w:val="true"/>
          <w:lang w:val="en-US" w:eastAsia="en-US"/>
        </w:rPr>
        <w:t>".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אדישות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כזכור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סילגדו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לחוקתיות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הסעיף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יביאו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ההרתעה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למנען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כלשון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9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9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למראה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עיניו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מיכאל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אדיש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לטרגדיה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המתחוללת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במשפחתו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בקצרה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מצטרף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להניח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תכנן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ואפילו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להחלטה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בהחלט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איכותי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פער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כפול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הפיזי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9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9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ציטטה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9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7637/05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יוסף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5.7.07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בהקשר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דהתם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הדקירה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הקטלנית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בשתיקתם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אפשרו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להפיג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הערפל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באינדיבידואליות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לטעמי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הבחנות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חשובות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ראשית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מסקנות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משתיקתו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כאן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עסקינן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וחתום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שנית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מסקנת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גרימת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אצל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i/>
          <w:i/>
          <w:iCs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המעורבים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השתתפו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התקיפה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שחלקם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מחזיקים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סכינים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אצל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מודעות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9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אגב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אצלנו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hyperlink r:id="rId9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להרשעה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שלישית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שהושתה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והבניית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רחב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רביעית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דקר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הדוקר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דקר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ההשתתפות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בתקיפה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הושתו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דמיון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התקדימים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שהביאו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משתרעת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רחב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המיוחדות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דומני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כלשהו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מהפסיקה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אומר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שלעולם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מוצדקת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פורמאלית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בהחלט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כלשהי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מיוחסת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התנהגות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כמשתמע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9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hyperlink r:id="rId9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וסעיף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סיפא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9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אינדיקציה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להתנהגות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כלשהי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באיזון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המחריד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גיסא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היסוד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הנפשי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הפחותה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מאידך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גיסא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החמורה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נשמעה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האיזון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יימצא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בקביעת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מתחם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ראוי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6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12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משמע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חורגת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הראוי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המתחם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וענישה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אינדיווידואלית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מכביד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מכביד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למדי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מגוונים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שבוצע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אסיר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כעת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להודאת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להודאה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חשיבות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לנטילת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שציינה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בעצם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ניהולו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זיכרונות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מחדש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הספקות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האירוע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מאפשרים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מבחינה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רגשית</w:t>
      </w:r>
      <w:r>
        <w:rPr>
          <w:rFonts w:cs="Calibri" w:ascii="Calibri" w:hAnsi="Calibri"/>
          <w:rtl w:val="true"/>
          <w:lang w:val="en-US" w:eastAsia="en-US"/>
        </w:rPr>
        <w:t xml:space="preserve">,  </w:t>
      </w:r>
      <w:r>
        <w:rPr>
          <w:rFonts w:ascii="Calibri" w:hAnsi="Calibri" w:cs="Calibri"/>
          <w:rtl w:val="true"/>
          <w:lang w:val="en-US" w:eastAsia="en-US"/>
        </w:rPr>
        <w:t>לתהליך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הארוך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והממושך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הצפוי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אוסיף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לחסכון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במשאבי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ניהול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סיכומים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וכתיבת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הכרעת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להפריז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ההודיה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אפילו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שנתפס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בחשבון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האינטרסים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חרטה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להשתקם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אמירה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לזקוף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לחובתו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ניהול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בוודאי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חסך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התביעה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ובמיוחד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המיוסרת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האחות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והחברה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החיפושים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לנטות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המוגבל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מכביד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קיצוני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וחריג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ובהעדר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שליליות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תשמע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דעתי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יוטל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בפועל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10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לעניין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יתר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רכיבי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הענישה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מסכים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חברתי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השופטת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סלוטקי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חפיפת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אבקש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להדגיש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חפיפה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שצבר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שציינה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10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11790-01-14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בקרית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31.5.15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חפיפה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14.1.15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01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9126-07-14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 </w:t>
      </w:r>
      <w:r>
        <w:rPr>
          <w:rFonts w:ascii="Calibri" w:hAnsi="Calibri" w:cs="Calibri"/>
          <w:rtl w:val="true"/>
          <w:lang w:val="en-US" w:eastAsia="en-US"/>
        </w:rPr>
        <w:t>משמע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הייתה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התחשבות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ונפגעים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נימוק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במצטבר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בניכוי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היינו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שאינם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חופפים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למאסרו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שמציעה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סלוטקי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השופט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חזק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אינפלד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בכפוף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ascii="Calibri" w:hAnsi="Calibri" w:cs="Calibri"/>
          <w:rtl w:val="true"/>
          <w:lang w:val="en-US" w:eastAsia="en-US"/>
        </w:rPr>
        <w:t>הדברים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שצוינו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ובעיקר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שבסעיפים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27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ההתייחסות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לאדישותו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שצוינו</w:t>
      </w:r>
      <w:r>
        <w:rPr>
          <w:rFonts w:cs="Calibri" w:ascii="Calibri" w:hAnsi="Calibri"/>
          <w:rtl w:val="true"/>
          <w:lang w:val="en-US" w:eastAsia="en-US"/>
        </w:rPr>
        <w:t xml:space="preserve">,  </w:t>
      </w:r>
      <w:r>
        <w:rPr>
          <w:rFonts w:ascii="Calibri" w:hAnsi="Calibri" w:cs="Calibri"/>
          <w:rtl w:val="true"/>
          <w:lang w:val="en-US" w:eastAsia="en-US"/>
        </w:rPr>
        <w:t>יחייבו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8-14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אמליץ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אשר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ובהתאם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hyperlink r:id="rId10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80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רישא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</w:t>
      </w:r>
      <w:hyperlink r:id="rId10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בתי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המשפט</w:t>
        </w:r>
      </w:hyperlink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נוסח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משולב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],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התשמ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</w:t>
      </w:r>
      <w:r>
        <w:rPr>
          <w:rFonts w:cs="Calibri" w:ascii="Calibri" w:hAnsi="Calibri"/>
          <w:b/>
          <w:bCs/>
          <w:rtl w:val="true"/>
          <w:lang w:val="en-US" w:eastAsia="en-US"/>
        </w:rPr>
        <w:t>-</w:t>
      </w:r>
      <w:r>
        <w:rPr>
          <w:rFonts w:cs="Calibri" w:ascii="Calibri" w:hAnsi="Calibri"/>
          <w:b/>
          <w:bCs/>
          <w:lang w:val="en-US" w:eastAsia="en-US"/>
        </w:rPr>
        <w:t>1984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אנו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דנים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לעונשים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הבאים</w:t>
      </w:r>
      <w:r>
        <w:rPr>
          <w:rFonts w:cs="Calibri" w:ascii="Calibri" w:hAnsi="Calibri"/>
          <w:b/>
          <w:bCs/>
          <w:rtl w:val="true"/>
          <w:lang w:val="en-US" w:eastAsia="en-US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b/>
          <w:bCs/>
          <w:lang w:val="en-US" w:eastAsia="en-US"/>
        </w:rPr>
        <w:t>12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בפועל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בניכוי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המעצר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14.11.13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13.12.13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במצטבר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פשע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יפצה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בסכום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258,000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סכום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150,000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והיתרה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תחולק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שווים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הפרטים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הפיצויים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ימסרו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למזכירות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 חשוון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נובמבר </w:t>
      </w:r>
      <w:r>
        <w:rPr>
          <w:rFonts w:cs="Arial" w:ascii="Arial" w:hAnsi="Arial"/>
          <w:b/>
          <w:bCs/>
          <w:lang w:val="en-US" w:eastAsia="en-US"/>
        </w:rPr>
        <w:t>2016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tl w:val="true"/>
        </w:rPr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סלוטקי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05"/>
      <w:footerReference w:type="default" r:id="rId106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30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16193-01-15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מיקי מיכאל מיכלאשוילי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0" TargetMode="External"/><Relationship Id="rId4" Type="http://schemas.openxmlformats.org/officeDocument/2006/relationships/hyperlink" Target="http://www.nevo.co.il/law/70301/28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29.b" TargetMode="External"/><Relationship Id="rId7" Type="http://schemas.openxmlformats.org/officeDocument/2006/relationships/hyperlink" Target="http://www.nevo.co.il/law/70301/32" TargetMode="External"/><Relationship Id="rId8" Type="http://schemas.openxmlformats.org/officeDocument/2006/relationships/hyperlink" Target="http://www.nevo.co.il/law/70301/34a" TargetMode="External"/><Relationship Id="rId9" Type="http://schemas.openxmlformats.org/officeDocument/2006/relationships/hyperlink" Target="http://www.nevo.co.il/law/70301/34a.a.1" TargetMode="External"/><Relationship Id="rId10" Type="http://schemas.openxmlformats.org/officeDocument/2006/relationships/hyperlink" Target="http://www.nevo.co.il/law/70301/34a.a.2" TargetMode="External"/><Relationship Id="rId11" Type="http://schemas.openxmlformats.org/officeDocument/2006/relationships/hyperlink" Target="http://www.nevo.co.il/law/70301/34i.b" TargetMode="External"/><Relationship Id="rId12" Type="http://schemas.openxmlformats.org/officeDocument/2006/relationships/hyperlink" Target="http://www.nevo.co.il/law/70301/34j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law/70301/40g" TargetMode="External"/><Relationship Id="rId15" Type="http://schemas.openxmlformats.org/officeDocument/2006/relationships/hyperlink" Target="http://www.nevo.co.il/law/70301/40i.a.2" TargetMode="External"/><Relationship Id="rId16" Type="http://schemas.openxmlformats.org/officeDocument/2006/relationships/hyperlink" Target="http://www.nevo.co.il/law/70301/40i.a.5" TargetMode="External"/><Relationship Id="rId17" Type="http://schemas.openxmlformats.org/officeDocument/2006/relationships/hyperlink" Target="http://www.nevo.co.il/law/70301/40i.a.7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298" TargetMode="External"/><Relationship Id="rId20" Type="http://schemas.openxmlformats.org/officeDocument/2006/relationships/hyperlink" Target="http://www.nevo.co.il/law/70301/300.a.3" TargetMode="External"/><Relationship Id="rId21" Type="http://schemas.openxmlformats.org/officeDocument/2006/relationships/hyperlink" Target="http://www.nevo.co.il/law/70301/34jd" TargetMode="External"/><Relationship Id="rId22" Type="http://schemas.openxmlformats.org/officeDocument/2006/relationships/hyperlink" Target="http://www.nevo.co.il/law/70320" TargetMode="External"/><Relationship Id="rId23" Type="http://schemas.openxmlformats.org/officeDocument/2006/relationships/hyperlink" Target="http://www.nevo.co.il/law/74849" TargetMode="External"/><Relationship Id="rId24" Type="http://schemas.openxmlformats.org/officeDocument/2006/relationships/hyperlink" Target="http://www.nevo.co.il/law/74849/80.c.2" TargetMode="External"/><Relationship Id="rId25" Type="http://schemas.openxmlformats.org/officeDocument/2006/relationships/hyperlink" Target="http://www.nevo.co.il/law/70301/298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case/5673083" TargetMode="External"/><Relationship Id="rId29" Type="http://schemas.openxmlformats.org/officeDocument/2006/relationships/hyperlink" Target="http://www.nevo.co.il/case/6244603" TargetMode="External"/><Relationship Id="rId30" Type="http://schemas.openxmlformats.org/officeDocument/2006/relationships/hyperlink" Target="http://www.nevo.co.il/case/5581635" TargetMode="External"/><Relationship Id="rId31" Type="http://schemas.openxmlformats.org/officeDocument/2006/relationships/hyperlink" Target="http://www.nevo.co.il/case/6002494" TargetMode="External"/><Relationship Id="rId32" Type="http://schemas.openxmlformats.org/officeDocument/2006/relationships/hyperlink" Target="http://www.nevo.co.il/case/5770174" TargetMode="External"/><Relationship Id="rId33" Type="http://schemas.openxmlformats.org/officeDocument/2006/relationships/hyperlink" Target="http://www.nevo.co.il/case/6204360" TargetMode="External"/><Relationship Id="rId34" Type="http://schemas.openxmlformats.org/officeDocument/2006/relationships/hyperlink" Target="http://www.nevo.co.il/case/5769979" TargetMode="External"/><Relationship Id="rId35" Type="http://schemas.openxmlformats.org/officeDocument/2006/relationships/hyperlink" Target="http://www.nevo.co.il/case/5673083" TargetMode="External"/><Relationship Id="rId36" Type="http://schemas.openxmlformats.org/officeDocument/2006/relationships/hyperlink" Target="http://www.nevo.co.il/law/70301/32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case/5736343" TargetMode="External"/><Relationship Id="rId39" Type="http://schemas.openxmlformats.org/officeDocument/2006/relationships/hyperlink" Target="http://www.nevo.co.il/case/5846887" TargetMode="External"/><Relationship Id="rId40" Type="http://schemas.openxmlformats.org/officeDocument/2006/relationships/hyperlink" Target="http://www.nevo.co.il/case/5885079" TargetMode="External"/><Relationship Id="rId41" Type="http://schemas.openxmlformats.org/officeDocument/2006/relationships/hyperlink" Target="http://www.nevo.co.il/law/70301/34a" TargetMode="External"/><Relationship Id="rId42" Type="http://schemas.openxmlformats.org/officeDocument/2006/relationships/hyperlink" Target="http://www.nevo.co.il/law/70301/34a" TargetMode="External"/><Relationship Id="rId43" Type="http://schemas.openxmlformats.org/officeDocument/2006/relationships/hyperlink" Target="http://www.nevo.co.il/law/70301/40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5569233" TargetMode="External"/><Relationship Id="rId46" Type="http://schemas.openxmlformats.org/officeDocument/2006/relationships/hyperlink" Target="http://www.nevo.co.il/case/5603643" TargetMode="External"/><Relationship Id="rId47" Type="http://schemas.openxmlformats.org/officeDocument/2006/relationships/hyperlink" Target="http://www.nevo.co.il/case/20371840" TargetMode="External"/><Relationship Id="rId48" Type="http://schemas.openxmlformats.org/officeDocument/2006/relationships/hyperlink" Target="http://www.nevo.co.il/case/18090623" TargetMode="External"/><Relationship Id="rId49" Type="http://schemas.openxmlformats.org/officeDocument/2006/relationships/hyperlink" Target="http://www.nevo.co.il/case/20181627" TargetMode="External"/><Relationship Id="rId50" Type="http://schemas.openxmlformats.org/officeDocument/2006/relationships/hyperlink" Target="http://www.nevo.co.il/law/70301/29.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4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28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34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4a.a.2" TargetMode="External"/><Relationship Id="rId59" Type="http://schemas.openxmlformats.org/officeDocument/2006/relationships/hyperlink" Target="http://www.nevo.co.il/law/70320" TargetMode="External"/><Relationship Id="rId60" Type="http://schemas.openxmlformats.org/officeDocument/2006/relationships/hyperlink" Target="http://www.nevo.co.il/case/5957024" TargetMode="External"/><Relationship Id="rId61" Type="http://schemas.openxmlformats.org/officeDocument/2006/relationships/hyperlink" Target="http://www.nevo.co.il/law/70320" TargetMode="External"/><Relationship Id="rId62" Type="http://schemas.openxmlformats.org/officeDocument/2006/relationships/hyperlink" Target="http://www.nevo.co.il/law/70301/34a.a.1" TargetMode="External"/><Relationship Id="rId63" Type="http://schemas.openxmlformats.org/officeDocument/2006/relationships/hyperlink" Target="http://www.nevo.co.il/law/70301/34a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00.a.3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34a" TargetMode="External"/><Relationship Id="rId68" Type="http://schemas.openxmlformats.org/officeDocument/2006/relationships/hyperlink" Target="http://www.nevo.co.il/law/70301/300.a.3" TargetMode="External"/><Relationship Id="rId69" Type="http://schemas.openxmlformats.org/officeDocument/2006/relationships/hyperlink" Target="http://www.nevo.co.il/law/70301/34a.a.1" TargetMode="External"/><Relationship Id="rId70" Type="http://schemas.openxmlformats.org/officeDocument/2006/relationships/hyperlink" Target="http://www.nevo.co.il/case/6039300" TargetMode="External"/><Relationship Id="rId71" Type="http://schemas.openxmlformats.org/officeDocument/2006/relationships/hyperlink" Target="http://www.nevo.co.il/law/70301/300.a.3" TargetMode="External"/><Relationship Id="rId72" Type="http://schemas.openxmlformats.org/officeDocument/2006/relationships/hyperlink" Target="http://www.nevo.co.il/law/70301/34a" TargetMode="External"/><Relationship Id="rId73" Type="http://schemas.openxmlformats.org/officeDocument/2006/relationships/hyperlink" Target="http://www.nevo.co.il/law/70301/144.a" TargetMode="External"/><Relationship Id="rId74" Type="http://schemas.openxmlformats.org/officeDocument/2006/relationships/hyperlink" Target="http://www.nevo.co.il/law/70301/34a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34a" TargetMode="External"/><Relationship Id="rId77" Type="http://schemas.openxmlformats.org/officeDocument/2006/relationships/hyperlink" Target="http://www.nevo.co.il/law/70301/34a" TargetMode="External"/><Relationship Id="rId78" Type="http://schemas.openxmlformats.org/officeDocument/2006/relationships/hyperlink" Target="http://www.nevo.co.il/law/70301/34a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0g" TargetMode="External"/><Relationship Id="rId81" Type="http://schemas.openxmlformats.org/officeDocument/2006/relationships/hyperlink" Target="http://www.nevo.co.il/law/70301/34a" TargetMode="External"/><Relationship Id="rId82" Type="http://schemas.openxmlformats.org/officeDocument/2006/relationships/hyperlink" Target="http://www.nevo.co.il/law/70301/34jd" TargetMode="External"/><Relationship Id="rId83" Type="http://schemas.openxmlformats.org/officeDocument/2006/relationships/hyperlink" Target="http://www.nevo.co.il/law/70301/34i.b" TargetMode="External"/><Relationship Id="rId84" Type="http://schemas.openxmlformats.org/officeDocument/2006/relationships/hyperlink" Target="http://www.nevo.co.il/law/70301/34j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34a" TargetMode="External"/><Relationship Id="rId87" Type="http://schemas.openxmlformats.org/officeDocument/2006/relationships/hyperlink" Target="http://www.nevo.co.il/law/70301/34a" TargetMode="External"/><Relationship Id="rId88" Type="http://schemas.openxmlformats.org/officeDocument/2006/relationships/hyperlink" Target="http://www.nevo.co.il/law/70301/20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law/70301/20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70301/40i.a.2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case/6002494" TargetMode="External"/><Relationship Id="rId95" Type="http://schemas.openxmlformats.org/officeDocument/2006/relationships/hyperlink" Target="http://www.nevo.co.il/law/70301/34a" TargetMode="External"/><Relationship Id="rId96" Type="http://schemas.openxmlformats.org/officeDocument/2006/relationships/hyperlink" Target="http://www.nevo.co.il/law/70301/34a" TargetMode="External"/><Relationship Id="rId97" Type="http://schemas.openxmlformats.org/officeDocument/2006/relationships/hyperlink" Target="http://www.nevo.co.il/law/70301/40i.a.5" TargetMode="External"/><Relationship Id="rId98" Type="http://schemas.openxmlformats.org/officeDocument/2006/relationships/hyperlink" Target="http://www.nevo.co.il/law/70301/40i.a.7" TargetMode="External"/><Relationship Id="rId99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case/11226313" TargetMode="External"/><Relationship Id="rId101" Type="http://schemas.openxmlformats.org/officeDocument/2006/relationships/hyperlink" Target="http://www.nevo.co.il/case/17027713" TargetMode="External"/><Relationship Id="rId102" Type="http://schemas.openxmlformats.org/officeDocument/2006/relationships/hyperlink" Target="http://www.nevo.co.il/law/74849/80.c.2" TargetMode="External"/><Relationship Id="rId103" Type="http://schemas.openxmlformats.org/officeDocument/2006/relationships/hyperlink" Target="http://www.nevo.co.il/law/74849" TargetMode="External"/><Relationship Id="rId104" Type="http://schemas.openxmlformats.org/officeDocument/2006/relationships/hyperlink" Target="http://www.nevo.co.il/advertisements/nevo-100.doc" TargetMode="External"/><Relationship Id="rId105" Type="http://schemas.openxmlformats.org/officeDocument/2006/relationships/header" Target="header1.xml"/><Relationship Id="rId106" Type="http://schemas.openxmlformats.org/officeDocument/2006/relationships/footer" Target="footer1.xml"/><Relationship Id="rId107" Type="http://schemas.openxmlformats.org/officeDocument/2006/relationships/numbering" Target="numbering.xml"/><Relationship Id="rId108" Type="http://schemas.openxmlformats.org/officeDocument/2006/relationships/fontTable" Target="fontTable.xml"/><Relationship Id="rId109" Type="http://schemas.openxmlformats.org/officeDocument/2006/relationships/settings" Target="settings.xml"/><Relationship Id="rId1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2017-07-20T13:59:00Z</dcterms:created>
  <dc:creator> </dc:creator>
  <dc:description/>
  <cp:keywords/>
  <dc:language>en-IL</dc:language>
  <cp:lastModifiedBy>run</cp:lastModifiedBy>
  <dcterms:modified xsi:type="dcterms:W3CDTF">2017-07-20T13:59:00Z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מיקי מיכאל מיכלאשוילי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5673083:2;6244603;5581635;6002494:2;5770174;6204360;5769979;5736343;5846887;5885079;5569233;5603643;20371840;18090623;20181627;5957024;6039300;11226313;17027713</vt:lpwstr>
  </property>
  <property fmtid="{D5CDD505-2E9C-101B-9397-08002B2CF9AE}" pid="9" name="CITY">
    <vt:lpwstr>ב"ש</vt:lpwstr>
  </property>
  <property fmtid="{D5CDD505-2E9C-101B-9397-08002B2CF9AE}" pid="10" name="DATE">
    <vt:lpwstr>20161115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חני סלוטקי;אלון אינפלד;אריאל חזק</vt:lpwstr>
  </property>
  <property fmtid="{D5CDD505-2E9C-101B-9397-08002B2CF9AE}" pid="14" name="LAWLISTTMP1">
    <vt:lpwstr>70301/298;144.a:2;032;029;034a:16;040b;029.b;028;034a.a.2;034a.a.1:2;300.a.3:3;040g;34jd;034i.b;034j;020:2;040i.a.2;040i.a.5;040i.a.7</vt:lpwstr>
  </property>
  <property fmtid="{D5CDD505-2E9C-101B-9397-08002B2CF9AE}" pid="15" name="LAWLISTTMP2">
    <vt:lpwstr>70320:2</vt:lpwstr>
  </property>
  <property fmtid="{D5CDD505-2E9C-101B-9397-08002B2CF9AE}" pid="16" name="LAWLISTTMP3">
    <vt:lpwstr>74849/080.c.2</vt:lpwstr>
  </property>
  <property fmtid="{D5CDD505-2E9C-101B-9397-08002B2CF9AE}" pid="17" name="LAWYER">
    <vt:lpwstr>עפרה לוי ;איילת קדוש;ניל סימון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16193</vt:lpwstr>
  </property>
  <property fmtid="{D5CDD505-2E9C-101B-9397-08002B2CF9AE}" pid="24" name="NEWPARTB">
    <vt:lpwstr>01</vt:lpwstr>
  </property>
  <property fmtid="{D5CDD505-2E9C-101B-9397-08002B2CF9AE}" pid="25" name="NEWPARTC">
    <vt:lpwstr>15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390020161115</vt:lpwstr>
  </property>
  <property fmtid="{D5CDD505-2E9C-101B-9397-08002B2CF9AE}" pid="36" name="TYPE_N_DATE">
    <vt:lpwstr>39020161115</vt:lpwstr>
  </property>
  <property fmtid="{D5CDD505-2E9C-101B-9397-08002B2CF9AE}" pid="37" name="VOLUME">
    <vt:lpwstr/>
  </property>
  <property fmtid="{D5CDD505-2E9C-101B-9397-08002B2CF9AE}" pid="38" name="WORDNUMPAGES">
    <vt:lpwstr>22</vt:lpwstr>
  </property>
</Properties>
</file>