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16395-12-10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גרבאן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הרכב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אלרון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אליקים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נאדר גרבאן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מיטל חן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מטעם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בויראת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באמצעות הליווי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 הורשע על פי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טיעון בעבירות שבכתב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סעיפים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 xml:space="preserve">בצרוף </w:t>
      </w:r>
      <w:r>
        <w:rPr/>
        <w:t>335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 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 xml:space="preserve">וכן 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 לחוק העונשין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>נשיאה והובלת 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בפנינו הונחה   מסגרת עונשית ולפיה</w:t>
      </w:r>
      <w:r>
        <w:rPr>
          <w:rtl w:val="true"/>
        </w:rPr>
        <w:t xml:space="preserve">, </w:t>
      </w:r>
      <w:r>
        <w:rPr>
          <w:rtl w:val="true"/>
        </w:rPr>
        <w:t xml:space="preserve">יושתו על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ו 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אשר יכללו הפעלת עונש מאסר מותנה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חלקם בחופף וחלקם במצטבר מת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3172-04</w:t>
      </w:r>
      <w:r>
        <w:rPr>
          <w:rtl w:val="true"/>
        </w:rPr>
        <w:t xml:space="preserve"> </w:t>
      </w:r>
      <w:r>
        <w:rPr>
          <w:rtl w:val="true"/>
        </w:rPr>
        <w:t>מחוזי חיפה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 כח המאשימה בטיעוניה לעונש ציינה בהרחבה את מכלול הנסיבות שהביאו את המאשימה להגעה להסדר הטיעון</w:t>
      </w:r>
      <w:r>
        <w:rPr>
          <w:rtl w:val="true"/>
        </w:rPr>
        <w:t xml:space="preserve">, </w:t>
      </w:r>
      <w:r>
        <w:rPr>
          <w:rtl w:val="true"/>
        </w:rPr>
        <w:t>תוך הדגשת העובדה כי המדובר בהסדר טיעון סביר 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גם אם לא התעלמה מהעובדה כי לנאשם עבר פלילי לא מבוטל אך הדגישה כי המדובר באירוע משנת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כחלק מקטטה המונית</w:t>
      </w:r>
      <w:r>
        <w:rPr>
          <w:rtl w:val="true"/>
        </w:rPr>
        <w:t xml:space="preserve">, </w:t>
      </w:r>
      <w:r>
        <w:rPr>
          <w:rtl w:val="true"/>
        </w:rPr>
        <w:t>העובדה כי הנאשם הסגיר עצמו למשטרה</w:t>
      </w:r>
      <w:r>
        <w:rPr>
          <w:rtl w:val="true"/>
        </w:rPr>
        <w:t xml:space="preserve">, </w:t>
      </w:r>
      <w:r>
        <w:rPr>
          <w:rtl w:val="true"/>
        </w:rPr>
        <w:t xml:space="preserve">וקשיים אלה ואחרים בניהול עתידי של התיק </w:t>
      </w:r>
      <w:r>
        <w:rPr>
          <w:rtl w:val="true"/>
        </w:rPr>
        <w:t>(</w:t>
      </w:r>
      <w:r>
        <w:rPr>
          <w:rtl w:val="true"/>
        </w:rPr>
        <w:t>חקירת עדים</w:t>
      </w:r>
      <w:r>
        <w:rPr>
          <w:rtl w:val="true"/>
        </w:rPr>
        <w:t xml:space="preserve">, </w:t>
      </w:r>
      <w:r>
        <w:rPr>
          <w:rtl w:val="true"/>
        </w:rPr>
        <w:t>סרבול ועוד בנסיבות שפורטו לעיל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הוסיף על דברי באת כח המאשימה</w:t>
      </w:r>
      <w:r>
        <w:rPr>
          <w:rtl w:val="true"/>
        </w:rPr>
        <w:t xml:space="preserve">, </w:t>
      </w:r>
      <w:r>
        <w:rPr>
          <w:rtl w:val="true"/>
        </w:rPr>
        <w:t>וביקש אף הוא לכבד את הסדר הטיעון</w:t>
      </w:r>
      <w:r>
        <w:rPr>
          <w:rtl w:val="true"/>
        </w:rPr>
        <w:t xml:space="preserve">, </w:t>
      </w:r>
      <w:r>
        <w:rPr>
          <w:rtl w:val="true"/>
        </w:rPr>
        <w:t>תוך שהפנה להודיית הנאשם בתחילת משפטו</w:t>
      </w:r>
      <w:r>
        <w:rPr>
          <w:rtl w:val="true"/>
        </w:rPr>
        <w:t xml:space="preserve">, </w:t>
      </w:r>
      <w:r>
        <w:rPr>
          <w:rtl w:val="true"/>
        </w:rPr>
        <w:t>הסכם הסולחה שנערך חסכון זמן שיפוטי ועוד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שעיינו בטיעוני באי כח הצדדים ובהתחשב בדבריה של באת כח המאשימה כי נשקלו מכלול השיקולים המתחייבים בטרם ההגעה להסדר</w:t>
      </w:r>
      <w:r>
        <w:rPr>
          <w:rtl w:val="true"/>
        </w:rPr>
        <w:t xml:space="preserve">, </w:t>
      </w:r>
      <w:r>
        <w:rPr>
          <w:rtl w:val="true"/>
        </w:rPr>
        <w:t>אנו מחליטים לאמץ את הסדר הטיעון אליו הגיעו באי כח הצדדים ולגזור על הנאשם את העונשים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אנו מפעילים את עונש המאסר המותנה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מ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3172/04</w:t>
        </w:r>
      </w:hyperlink>
      <w:r>
        <w:rPr>
          <w:rtl w:val="true"/>
        </w:rPr>
        <w:t xml:space="preserve"> </w:t>
      </w:r>
      <w:r>
        <w:rPr>
          <w:rtl w:val="true"/>
        </w:rPr>
        <w:t>מחוזי חיפה</w:t>
      </w:r>
      <w:r>
        <w:rPr>
          <w:rtl w:val="true"/>
        </w:rPr>
        <w:t xml:space="preserve">, </w:t>
      </w:r>
      <w:r>
        <w:rPr>
          <w:rtl w:val="true"/>
        </w:rPr>
        <w:t>באופן ש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לריצוי במצטבר לעונש המאסר שנגזר על הנאשם בתיק זה 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בחופף לעונש זה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שסך הכל יהא על הנאשם לרצות </w:t>
      </w:r>
      <w:r>
        <w:rPr>
          <w:u w:val="single"/>
        </w:rPr>
        <w:t>55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חודשי </w:t>
      </w:r>
      <w:r>
        <w:rPr>
          <w:rtl w:val="true"/>
        </w:rPr>
        <w:t>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לבל יעבור עבירת אלימות מסוג פשע ועבירות 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אנו מחייבים את הנאשם לפצות כל אחד מהמתלוננים ואסים עמאש</w:t>
      </w:r>
      <w:r>
        <w:rPr>
          <w:rtl w:val="true"/>
        </w:rPr>
        <w:t xml:space="preserve">, </w:t>
      </w:r>
      <w:r>
        <w:rPr>
          <w:rtl w:val="true"/>
        </w:rPr>
        <w:t>מוחמד עמאש ויוסף עמאש</w:t>
      </w:r>
      <w:r>
        <w:rPr>
          <w:rtl w:val="true"/>
        </w:rPr>
        <w:t xml:space="preserve">, </w:t>
      </w:r>
      <w:r>
        <w:rPr>
          <w:rtl w:val="true"/>
        </w:rPr>
        <w:t xml:space="preserve">בסך של </w:t>
      </w:r>
      <w:r>
        <w:rPr/>
        <w:t>7,000</w:t>
      </w:r>
      <w:r>
        <w:rPr>
          <w:rtl w:val="true"/>
        </w:rPr>
        <w:t xml:space="preserve"> ₪ </w:t>
      </w:r>
      <w:r>
        <w:rPr>
          <w:rtl w:val="true"/>
        </w:rPr>
        <w:t xml:space="preserve">לתשלום בתוך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 מניין תקופת המאסר</w:t>
      </w:r>
      <w:r>
        <w:rPr>
          <w:rtl w:val="true"/>
        </w:rPr>
        <w:t xml:space="preserve">, </w:t>
      </w:r>
      <w:r>
        <w:rPr>
          <w:rtl w:val="true"/>
        </w:rPr>
        <w:t xml:space="preserve">תימנה תקופת שהייתו במעצר </w:t>
      </w:r>
      <w:r>
        <w:rPr>
          <w:u w:val="single"/>
          <w:rtl w:val="true"/>
        </w:rPr>
        <w:t xml:space="preserve">מיום </w:t>
      </w:r>
      <w:r>
        <w:rPr>
          <w:u w:val="single"/>
        </w:rPr>
        <w:t>29.11.10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העליון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ניתנה והודעה היום ו</w:t>
      </w:r>
      <w:r>
        <w:rPr>
          <w:b/>
          <w:bCs/>
          <w:sz w:val="26"/>
          <w:szCs w:val="26"/>
          <w:rtl w:val="true"/>
        </w:rPr>
        <w:t xml:space="preserve">'  </w:t>
      </w:r>
      <w:r>
        <w:rPr>
          <w:b/>
          <w:b/>
          <w:bCs/>
          <w:sz w:val="26"/>
          <w:sz w:val="26"/>
          <w:szCs w:val="26"/>
          <w:rtl w:val="true"/>
        </w:rPr>
        <w:t>אדר א תשע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10/02/2011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במעמד באי כח הצדים</w:t>
      </w:r>
      <w:r>
        <w:rPr>
          <w:b/>
          <w:bCs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center"/>
        <w:rPr>
          <w:rFonts w:ascii="Times New Roman" w:hAnsi="Times New Roman" w:eastAsia="Times New Roman" w:cs="FrankRuehl"/>
        </w:rPr>
      </w:pPr>
      <w:r>
        <w:rPr>
          <w:rFonts w:eastAsia="Times New Roman" w:cs="FrankRuehl" w:ascii="Times New Roman" w:hAnsi="Times New Roman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eastAsia="Courier New" w:cs="Courier New" w:ascii="Courier New" w:hAnsi="Courier New"/>
                <w:b/>
                <w:bCs/>
                <w:rtl w:val="true"/>
              </w:rPr>
              <w:t xml:space="preserve"> 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360" w:before="240" w:after="6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גלעד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אליקים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אתי עטיאס</w:t>
      </w: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16395-12-10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נאדר גרבאן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3172/04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2011-02-14T08:34:00Z</dcterms:created>
  <dc:creator> </dc:creator>
  <dc:description/>
  <cp:keywords/>
  <dc:language>en-IL</dc:language>
  <cp:lastModifiedBy>orit</cp:lastModifiedBy>
  <dcterms:modified xsi:type="dcterms:W3CDTF">2011-02-14T14:51:00Z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נאדר גרבאן (עציר)</vt:lpwstr>
  </property>
  <property fmtid="{D5CDD505-2E9C-101B-9397-08002B2CF9AE}" pid="4" name="CITY">
    <vt:lpwstr>חי'</vt:lpwstr>
  </property>
  <property fmtid="{D5CDD505-2E9C-101B-9397-08002B2CF9AE}" pid="5" name="DATE">
    <vt:lpwstr>20110210</vt:lpwstr>
  </property>
  <property fmtid="{D5CDD505-2E9C-101B-9397-08002B2CF9AE}" pid="6" name="ISABSTRACT">
    <vt:lpwstr>Y</vt:lpwstr>
  </property>
  <property fmtid="{D5CDD505-2E9C-101B-9397-08002B2CF9AE}" pid="7" name="JUDGE">
    <vt:lpwstr>הרכב;י' אלרון [];מ' גלעד;א' אליקים</vt:lpwstr>
  </property>
  <property fmtid="{D5CDD505-2E9C-101B-9397-08002B2CF9AE}" pid="8" name="LAWYER">
    <vt:lpwstr>גב' מיטל חן;בויראת</vt:lpwstr>
  </property>
  <property fmtid="{D5CDD505-2E9C-101B-9397-08002B2CF9AE}" pid="9" name="NEWPARTA">
    <vt:lpwstr>16395</vt:lpwstr>
  </property>
  <property fmtid="{D5CDD505-2E9C-101B-9397-08002B2CF9AE}" pid="10" name="NEWPARTB">
    <vt:lpwstr>12</vt:lpwstr>
  </property>
  <property fmtid="{D5CDD505-2E9C-101B-9397-08002B2CF9AE}" pid="11" name="NEWPARTC">
    <vt:lpwstr>10</vt:lpwstr>
  </property>
  <property fmtid="{D5CDD505-2E9C-101B-9397-08002B2CF9AE}" pid="12" name="NEWPROC">
    <vt:lpwstr>תפח</vt:lpwstr>
  </property>
  <property fmtid="{D5CDD505-2E9C-101B-9397-08002B2CF9AE}" pid="13" name="PSAKDIN">
    <vt:lpwstr>גזר-דין</vt:lpwstr>
  </property>
  <property fmtid="{D5CDD505-2E9C-101B-9397-08002B2CF9AE}" pid="14" name="RemarkFileName">
    <vt:lpwstr>mechozi me 10 12 16395 493 htm</vt:lpwstr>
  </property>
  <property fmtid="{D5CDD505-2E9C-101B-9397-08002B2CF9AE}" pid="15" name="TYPE">
    <vt:lpwstr>2</vt:lpwstr>
  </property>
  <property fmtid="{D5CDD505-2E9C-101B-9397-08002B2CF9AE}" pid="16" name="TYPE_ABS_DATE">
    <vt:lpwstr>390020110210</vt:lpwstr>
  </property>
  <property fmtid="{D5CDD505-2E9C-101B-9397-08002B2CF9AE}" pid="17" name="TYPE_N_DATE">
    <vt:lpwstr>39020110210</vt:lpwstr>
  </property>
  <property fmtid="{D5CDD505-2E9C-101B-9397-08002B2CF9AE}" pid="18" name="WORDNUMPAGES">
    <vt:lpwstr>3</vt:lpwstr>
  </property>
</Properties>
</file>