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16644-04-16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קדושים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ישראל</w:t>
            </w:r>
            <w:r>
              <w:rPr>
                <w:b/>
                <w:bCs/>
                <w:rtl w:val="true"/>
                <w:lang w:eastAsia="he-IL"/>
              </w:rPr>
              <w:br/>
            </w:r>
            <w:r>
              <w:rPr>
                <w:b/>
                <w:b/>
                <w:bCs/>
                <w:rtl w:val="true"/>
                <w:lang w:eastAsia="he-IL"/>
              </w:rPr>
              <w:t>ע</w:t>
            </w:r>
            <w:r>
              <w:rPr>
                <w:b/>
                <w:bCs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rtl w:val="true"/>
                <w:lang w:eastAsia="he-IL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ב</w:t>
            </w:r>
            <w:r>
              <w:rPr>
                <w:b/>
                <w:bCs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rtl w:val="true"/>
                <w:lang w:eastAsia="he-IL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עו</w:t>
            </w:r>
            <w:r>
              <w:rPr>
                <w:b/>
                <w:bCs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rtl w:val="true"/>
                <w:lang w:eastAsia="he-IL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גלי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חצב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אדם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קדושים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  <w:lang w:eastAsia="he-IL"/>
              </w:rPr>
              <w:t>ע</w:t>
            </w:r>
            <w:r>
              <w:rPr>
                <w:b/>
                <w:bCs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rtl w:val="true"/>
                <w:lang w:eastAsia="he-IL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ב</w:t>
            </w:r>
            <w:r>
              <w:rPr>
                <w:b/>
                <w:bCs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rtl w:val="true"/>
                <w:lang w:eastAsia="he-IL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אלקבץ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</w:p>
          <w:p>
            <w:pPr>
              <w:pStyle w:val="12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  <w:lang w:eastAsia="he-IL"/>
              </w:rPr>
              <w:t>ע</w:t>
            </w:r>
            <w:r>
              <w:rPr>
                <w:u w:val="none"/>
                <w:rtl w:val="true"/>
                <w:lang w:eastAsia="he-IL"/>
              </w:rPr>
              <w:t>"</w:t>
            </w:r>
            <w:r>
              <w:rPr>
                <w:u w:val="none"/>
                <w:rtl w:val="true"/>
                <w:lang w:eastAsia="he-IL"/>
              </w:rPr>
              <w:t>י</w:t>
            </w:r>
            <w:r>
              <w:rPr>
                <w:rFonts w:cs="Times New Roman"/>
                <w:u w:val="none"/>
                <w:rtl w:val="true"/>
                <w:lang w:eastAsia="he-IL"/>
              </w:rPr>
              <w:t xml:space="preserve"> </w:t>
            </w:r>
            <w:r>
              <w:rPr>
                <w:u w:val="none"/>
                <w:rtl w:val="true"/>
                <w:lang w:eastAsia="he-IL"/>
              </w:rPr>
              <w:t>ב</w:t>
            </w:r>
            <w:r>
              <w:rPr>
                <w:u w:val="none"/>
                <w:rtl w:val="true"/>
                <w:lang w:eastAsia="he-IL"/>
              </w:rPr>
              <w:t>"</w:t>
            </w:r>
            <w:r>
              <w:rPr>
                <w:u w:val="none"/>
                <w:rtl w:val="true"/>
                <w:lang w:eastAsia="he-IL"/>
              </w:rPr>
              <w:t>כ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עו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>ד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אלי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כהן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ועו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>ד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איריס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טוביאנה</w:t>
            </w:r>
          </w:p>
          <w:p>
            <w:pPr>
              <w:pStyle w:val="12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רפאל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אלבז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  <w:lang w:eastAsia="he-IL"/>
              </w:rPr>
              <w:t>ע</w:t>
            </w:r>
            <w:r>
              <w:rPr>
                <w:u w:val="none"/>
                <w:rtl w:val="true"/>
                <w:lang w:eastAsia="he-IL"/>
              </w:rPr>
              <w:t>"</w:t>
            </w:r>
            <w:r>
              <w:rPr>
                <w:u w:val="none"/>
                <w:rtl w:val="true"/>
                <w:lang w:eastAsia="he-IL"/>
              </w:rPr>
              <w:t>י</w:t>
            </w:r>
            <w:r>
              <w:rPr>
                <w:rFonts w:cs="Times New Roman"/>
                <w:u w:val="none"/>
                <w:rtl w:val="true"/>
                <w:lang w:eastAsia="he-IL"/>
              </w:rPr>
              <w:t xml:space="preserve"> </w:t>
            </w:r>
            <w:r>
              <w:rPr>
                <w:u w:val="none"/>
                <w:rtl w:val="true"/>
                <w:lang w:eastAsia="he-IL"/>
              </w:rPr>
              <w:t>ב</w:t>
            </w:r>
            <w:r>
              <w:rPr>
                <w:u w:val="none"/>
                <w:rtl w:val="true"/>
                <w:lang w:eastAsia="he-IL"/>
              </w:rPr>
              <w:t>"</w:t>
            </w:r>
            <w:r>
              <w:rPr>
                <w:u w:val="none"/>
                <w:rtl w:val="true"/>
                <w:lang w:eastAsia="he-IL"/>
              </w:rPr>
              <w:t>כ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עו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>ד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אסף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טל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ועו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>ד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גליה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אלפסי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260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כב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השופט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מרדכי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לוי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0" w:name="ABSTRACT_START"/>
      <w:bookmarkEnd w:id="10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  <w:noBreakHyphen/>
      </w:r>
      <w:hyperlink r:id="rId2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bookmarkStart w:id="11" w:name="ABSTRACT_END"/>
      <w:bookmarkEnd w:id="11"/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  <w:softHyphen/>
        <w:softHyphen/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  <w:noBreakHyphen/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>-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  <w:noBreakHyphen/>
        <w:t>הטיעון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21.3.2016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  <w:noBreakHyphen/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21.3.2016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15:20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בקיבה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בסרעפת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החורים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הסרעפת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הבניין</w:t>
      </w:r>
      <w:r>
        <w:rPr>
          <w:rtl w:val="true"/>
        </w:rPr>
        <w:t xml:space="preserve">"),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>-</w:t>
      </w:r>
      <w:r>
        <w:rPr>
          <w:rtl w:val="true"/>
        </w:rPr>
        <w:t>המדרגות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הציוד</w:t>
      </w:r>
      <w:r>
        <w:rPr>
          <w:rtl w:val="true"/>
        </w:rPr>
        <w:t>").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21.3.2016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22.3.2016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ובשליחותם</w:t>
      </w:r>
      <w:r>
        <w:rPr>
          <w:rtl w:val="true"/>
        </w:rPr>
        <w:t xml:space="preserve">,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26.7.2015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  <w:noBreakHyphen/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49884-07-15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-</w:t>
      </w:r>
      <w:r>
        <w:rPr>
          <w:rtl w:val="true"/>
        </w:rPr>
        <w:t>בית</w:t>
      </w:r>
      <w:r>
        <w:rPr>
          <w:rtl w:val="true"/>
        </w:rPr>
        <w:t xml:space="preserve">;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10.12.2015</w:t>
      </w:r>
      <w:r>
        <w:rPr>
          <w:rtl w:val="true"/>
        </w:rPr>
        <w:t xml:space="preserve">, </w:t>
      </w:r>
      <w:r>
        <w:rPr>
          <w:rtl w:val="true"/>
        </w:rPr>
        <w:t>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-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25.11.2015</w:t>
      </w:r>
      <w:r>
        <w:rPr>
          <w:rtl w:val="true"/>
        </w:rPr>
        <w:t xml:space="preserve">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בהרצליה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7:00</w:t>
      </w:r>
      <w:r>
        <w:rPr>
          <w:rtl w:val="true"/>
        </w:rPr>
        <w:t xml:space="preserve"> </w:t>
      </w:r>
      <w:r>
        <w:rPr>
          <w:rtl w:val="true"/>
        </w:rPr>
        <w:t>ל</w:t>
        <w:noBreakHyphen/>
      </w:r>
      <w:r>
        <w:rPr/>
        <w:t>18:00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</w:t>
      </w:r>
      <w:r>
        <w:rPr>
          <w:rtl w:val="true"/>
        </w:rPr>
        <w:t xml:space="preserve">").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b/>
          <w:bCs/>
        </w:rPr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  <w:noBreakHyphen/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  <w:noBreakHyphen/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  <w:noBreakHyphen/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והרסנית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להפחיד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  <w:noBreakHyphen/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תוקפּניים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ובציות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,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מסוכּנות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מסיכון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  <w:noBreakHyphen/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אִמהּ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2007-2014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tl w:val="true"/>
        </w:rPr>
        <w:t xml:space="preserve">, </w:t>
      </w:r>
      <w:r>
        <w:rPr>
          <w:rtl w:val="true"/>
        </w:rPr>
        <w:t>חזרתיות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ולתפיסתו</w:t>
      </w:r>
      <w:r>
        <w:rPr>
          <w:rtl w:val="true"/>
        </w:rPr>
        <w:t xml:space="preserve">,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tl w:val="true"/>
        </w:rPr>
        <w:t xml:space="preserve">,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אימפּולסיביות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תוקפּניים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ופיתויים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השירות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>-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  <w:noBreakHyphen/>
        <w:t>הפעלה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43590-01-13</w:t>
        </w:r>
      </w:hyperlink>
      <w:r>
        <w:rPr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אִיומים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)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27.3.2014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43590-01-13</w:t>
        </w:r>
      </w:hyperlink>
      <w:r>
        <w:rPr>
          <w:rtl w:val="true"/>
        </w:rPr>
        <w:t xml:space="preserve">,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שיבא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21.3.2016</w:t>
      </w:r>
      <w:r>
        <w:rPr>
          <w:rtl w:val="true"/>
        </w:rPr>
        <w:t xml:space="preserve">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27.3.2016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 xml:space="preserve">);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 xml:space="preserve">);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7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עיקרי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דלהלן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23.11.2016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28.9.2016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19.11.2015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דטסה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6.6.2013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אלצאנע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24.3.2013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;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-</w:t>
      </w:r>
      <w:r>
        <w:rPr>
          <w:rtl w:val="true"/>
        </w:rPr>
        <w:t>הנהיגה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43590-01-13</w:t>
        </w:r>
      </w:hyperlink>
      <w:r>
        <w:rPr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עיקרי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  <w:noBreakHyphen/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  <w:noBreakHyphen/>
        <w:t>האישום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בזרועו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מסיק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להפחיד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מאיר</w:t>
      </w:r>
      <w:r>
        <w:rPr>
          <w:rtl w:val="true"/>
        </w:rPr>
        <w:t xml:space="preserve">"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לוינשטיין</w:t>
      </w:r>
      <w:r>
        <w:rPr>
          <w:rtl w:val="true"/>
        </w:rPr>
        <w:t xml:space="preserve">" </w:t>
      </w:r>
      <w:r>
        <w:rPr>
          <w:rtl w:val="true"/>
        </w:rPr>
        <w:t>לסירוגין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34710-08-16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29.1.2017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; 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23.9.2008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1083/06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בוחניק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27.5.2007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15.7.2014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29444-07-16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אלביליה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27.3.2017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261/83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19.2.1984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u w:val="single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עיקרי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1.1.2015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6843/14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8.6.2016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29.3.2016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29.1.2015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4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1833-11-08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בונקר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19.10.2009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עיקרי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/</w:t>
      </w:r>
      <w:r>
        <w:rPr>
          <w:b/>
          <w:bCs/>
        </w:rPr>
        <w:t>7</w:t>
      </w:r>
      <w:r>
        <w:rPr>
          <w:rtl w:val="true"/>
        </w:rPr>
        <w:t xml:space="preserve">)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יישנו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1"/>
        <w:spacing w:before="240" w:after="240"/>
        <w:ind w:hanging="0" w:start="515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כללי</w:t>
      </w:r>
    </w:p>
    <w:p>
      <w:pPr>
        <w:pStyle w:val="1"/>
        <w:numPr>
          <w:ilvl w:val="0"/>
          <w:numId w:val="4"/>
        </w:numPr>
        <w:spacing w:before="240" w:after="240"/>
        <w:ind w:hanging="360" w:start="509" w:end="0"/>
        <w:jc w:val="both"/>
        <w:rPr>
          <w:rFonts w:eastAsia="Calibri" w:cs="David"/>
          <w:sz w:val="24"/>
          <w:szCs w:val="24"/>
        </w:rPr>
      </w:pPr>
      <w:r>
        <w:rPr>
          <w:rFonts w:eastAsia="Calibri"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7">
        <w:r>
          <w:rPr>
            <w:rStyle w:val="Hyperlink"/>
            <w:rFonts w:eastAsia="Calibri" w:cs="David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Calibri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Calibri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ל</w:t>
      </w:r>
      <w:hyperlink r:id="rId48">
        <w:r>
          <w:rPr>
            <w:rStyle w:val="Hyperlink"/>
            <w:rFonts w:eastAsia="Calibri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Calibri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Calibri" w:cs="David"/>
          <w:sz w:val="24"/>
          <w:szCs w:val="24"/>
          <w:rtl w:val="true"/>
        </w:rPr>
        <w:t xml:space="preserve">, </w:t>
      </w:r>
      <w:r>
        <w:rPr>
          <w:rFonts w:eastAsia="Calibri" w:cs="David"/>
          <w:sz w:val="24"/>
          <w:sz w:val="24"/>
          <w:szCs w:val="24"/>
          <w:rtl w:val="true"/>
        </w:rPr>
        <w:t>העיקרון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המנחה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עקרון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ההלימה</w:t>
      </w:r>
      <w:r>
        <w:rPr>
          <w:rFonts w:eastAsia="Calibri" w:cs="David"/>
          <w:sz w:val="24"/>
          <w:szCs w:val="24"/>
          <w:rtl w:val="true"/>
        </w:rPr>
        <w:t xml:space="preserve">, </w:t>
      </w:r>
      <w:r>
        <w:rPr>
          <w:rFonts w:eastAsia="Calibri" w:cs="David"/>
          <w:sz w:val="24"/>
          <w:sz w:val="24"/>
          <w:szCs w:val="24"/>
          <w:rtl w:val="true"/>
        </w:rPr>
        <w:t>דהיינו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קיומו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ומידת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אשמו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ומידת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המוטל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David"/>
          <w:sz w:val="24"/>
          <w:sz w:val="24"/>
          <w:szCs w:val="24"/>
          <w:rtl w:val="true"/>
        </w:rPr>
        <w:t>עליו</w:t>
      </w:r>
      <w:r>
        <w:rPr>
          <w:rFonts w:eastAsia="Calibri" w:cs="David"/>
          <w:sz w:val="24"/>
          <w:szCs w:val="24"/>
          <w:rtl w:val="true"/>
        </w:rPr>
        <w:t xml:space="preserve">. </w:t>
      </w:r>
    </w:p>
    <w:p>
      <w:pPr>
        <w:pStyle w:val="1"/>
        <w:spacing w:before="240" w:after="240"/>
        <w:ind w:hanging="0" w:start="515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עיקרון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ההלימה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בפרמטרים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שנפגע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ומדיניות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hyperlink r:id="rId5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2918/13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18.7.2013</w:t>
      </w:r>
      <w:r>
        <w:rPr>
          <w:rFonts w:cs="David"/>
          <w:sz w:val="24"/>
          <w:szCs w:val="24"/>
          <w:rtl w:val="true"/>
        </w:rPr>
        <w:t xml:space="preserve">); </w:t>
      </w:r>
      <w:hyperlink r:id="rId5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8641/12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בפסקאות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29-18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סולברג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5.8.2013</w:t>
      </w:r>
      <w:r>
        <w:rPr>
          <w:rFonts w:cs="David"/>
          <w:sz w:val="24"/>
          <w:szCs w:val="24"/>
          <w:rtl w:val="true"/>
        </w:rPr>
        <w:t xml:space="preserve">); </w:t>
      </w:r>
      <w:hyperlink r:id="rId5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4741/13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נעאמנה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10.6.2014</w:t>
      </w:r>
      <w:r>
        <w:rPr>
          <w:rFonts w:cs="David"/>
          <w:sz w:val="24"/>
          <w:szCs w:val="24"/>
          <w:rtl w:val="true"/>
        </w:rPr>
        <w:t>)].</w:t>
      </w:r>
    </w:p>
    <w:p>
      <w:pPr>
        <w:pStyle w:val="1"/>
        <w:spacing w:before="240" w:after="240"/>
        <w:ind w:hanging="0" w:start="515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בהתקיימות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1"/>
        <w:spacing w:before="240" w:after="240"/>
        <w:ind w:hanging="0" w:start="50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הרתעה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5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והרתעת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5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ובלבד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1"/>
        <w:spacing w:before="240" w:after="240"/>
        <w:ind w:hanging="0" w:start="515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לסעיפים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1"/>
        <w:spacing w:before="240" w:after="240"/>
        <w:ind w:hanging="0" w:start="515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ובאיזו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הנפרדים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6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)].</w:t>
      </w:r>
    </w:p>
    <w:p>
      <w:pPr>
        <w:pStyle w:val="1"/>
        <w:spacing w:before="240" w:after="240"/>
        <w:ind w:hanging="0" w:start="515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הכלל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הפרט</w:t>
      </w:r>
    </w:p>
    <w:p>
      <w:pPr>
        <w:pStyle w:val="1"/>
        <w:spacing w:before="240" w:after="240"/>
        <w:ind w:hanging="0" w:start="515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ההולם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בקיבה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בסרעפת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שתהלום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שהודגשו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1.1.2015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17.9.2015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29.3.2016</w:t>
      </w:r>
      <w:r>
        <w:rPr>
          <w:rtl w:val="true"/>
        </w:rPr>
        <w:t>)].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-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נוהלו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אלצאנע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29444-07-16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אלביליה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261/83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'( </w:t>
        </w:r>
        <w:r>
          <w:rPr>
            <w:rStyle w:val="Hyperlink"/>
            <w:color w:val="0000FF"/>
            <w:u w:val="single"/>
          </w:rPr>
          <w:t>34710-08-16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סגור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1083/06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בוחניק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כאחד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)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3393/13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זרקוא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8.12.2016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] </w:t>
      </w:r>
      <w:r>
        <w:rPr>
          <w:rFonts w:eastAsia="David" w:ascii="David" w:hAnsi="David"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שהתאפיינו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before="240" w:after="240"/>
        <w:ind w:hanging="0" w:start="515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לנאשמים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</w:rPr>
        <w:t>16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>-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סיכומם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17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Style15"/>
        <w:numPr>
          <w:ilvl w:val="0"/>
          <w:numId w:val="5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25.3.16</w:t>
      </w:r>
      <w:r>
        <w:rPr>
          <w:rtl w:val="true"/>
        </w:rPr>
        <w:t>;</w:t>
      </w:r>
    </w:p>
    <w:p>
      <w:pPr>
        <w:pStyle w:val="Style15"/>
        <w:numPr>
          <w:ilvl w:val="0"/>
          <w:numId w:val="5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;</w:t>
      </w:r>
    </w:p>
    <w:p>
      <w:pPr>
        <w:pStyle w:val="Style15"/>
        <w:numPr>
          <w:ilvl w:val="0"/>
          <w:numId w:val="5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</w:p>
    <w:p>
      <w:pPr>
        <w:pStyle w:val="Style15"/>
        <w:numPr>
          <w:ilvl w:val="0"/>
          <w:numId w:val="5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;</w:t>
      </w:r>
    </w:p>
    <w:p>
      <w:pPr>
        <w:pStyle w:val="Style15"/>
        <w:numPr>
          <w:ilvl w:val="0"/>
          <w:numId w:val="5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Style15"/>
        <w:numPr>
          <w:ilvl w:val="0"/>
          <w:numId w:val="6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7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43590-01-13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>;</w:t>
      </w:r>
    </w:p>
    <w:p>
      <w:pPr>
        <w:pStyle w:val="Style15"/>
        <w:numPr>
          <w:ilvl w:val="0"/>
          <w:numId w:val="6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;</w:t>
      </w:r>
    </w:p>
    <w:p>
      <w:pPr>
        <w:pStyle w:val="Style15"/>
        <w:numPr>
          <w:ilvl w:val="0"/>
          <w:numId w:val="6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</w:p>
    <w:p>
      <w:pPr>
        <w:pStyle w:val="Style15"/>
        <w:numPr>
          <w:ilvl w:val="0"/>
          <w:numId w:val="6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;</w:t>
      </w:r>
    </w:p>
    <w:p>
      <w:pPr>
        <w:pStyle w:val="Style15"/>
        <w:numPr>
          <w:ilvl w:val="0"/>
          <w:numId w:val="6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</w:p>
    <w:p>
      <w:pPr>
        <w:pStyle w:val="Style15"/>
        <w:spacing w:lineRule="auto" w:line="360" w:before="0" w:after="240"/>
        <w:ind w:start="1080" w:end="0"/>
        <w:contextualSpacing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Style15"/>
        <w:numPr>
          <w:ilvl w:val="0"/>
          <w:numId w:val="7"/>
        </w:numPr>
        <w:spacing w:lineRule="auto" w:line="360" w:before="0" w:after="240"/>
        <w:ind w:hanging="360" w:start="1440" w:end="0"/>
        <w:contextualSpacing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;</w:t>
      </w:r>
    </w:p>
    <w:p>
      <w:pPr>
        <w:pStyle w:val="Style15"/>
        <w:numPr>
          <w:ilvl w:val="0"/>
          <w:numId w:val="7"/>
        </w:numPr>
        <w:spacing w:lineRule="auto" w:line="360" w:before="0" w:after="240"/>
        <w:ind w:hanging="360" w:start="1440" w:end="0"/>
        <w:contextualSpacing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; </w:t>
      </w:r>
    </w:p>
    <w:p>
      <w:pPr>
        <w:pStyle w:val="Style15"/>
        <w:numPr>
          <w:ilvl w:val="0"/>
          <w:numId w:val="7"/>
        </w:numPr>
        <w:spacing w:lineRule="auto" w:line="360" w:before="0" w:after="240"/>
        <w:ind w:hanging="360" w:start="144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;</w:t>
      </w:r>
    </w:p>
    <w:p>
      <w:pPr>
        <w:pStyle w:val="Style15"/>
        <w:numPr>
          <w:ilvl w:val="0"/>
          <w:numId w:val="7"/>
        </w:numPr>
        <w:spacing w:lineRule="auto" w:line="360" w:before="0" w:after="240"/>
        <w:ind w:hanging="360" w:start="144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15.1.18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09.00</w:t>
      </w:r>
      <w:r>
        <w:rPr>
          <w:rtl w:val="true"/>
        </w:rPr>
        <w:t xml:space="preserve"> 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Style15"/>
        <w:spacing w:lineRule="auto" w:line="360" w:before="0" w:after="240"/>
        <w:ind w:start="368" w:end="0"/>
        <w:contextualSpacing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tbl>
      <w:tblPr>
        <w:bidiVisual w:val="true"/>
        <w:tblW w:w="2835" w:type="dxa"/>
        <w:jc w:val="start"/>
        <w:tblInd w:w="4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37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</w:p>
    <w:p>
      <w:pPr>
        <w:pStyle w:val="Normal"/>
        <w:spacing w:lineRule="auto" w:line="360"/>
        <w:ind w:hanging="437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</w:p>
    <w:tbl>
      <w:tblPr>
        <w:bidiVisual w:val="true"/>
        <w:tblW w:w="2694" w:type="dxa"/>
        <w:jc w:val="start"/>
        <w:tblInd w:w="5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4"/>
      </w:tblGrid>
      <w:tr>
        <w:trPr/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69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2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</w:p>
    <w:p>
      <w:pPr>
        <w:pStyle w:val="Normal"/>
        <w:spacing w:lineRule="auto" w:line="360"/>
        <w:ind w:firstLine="708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2835" w:type="dxa"/>
        <w:jc w:val="start"/>
        <w:tblInd w:w="3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Style15"/>
        <w:numPr>
          <w:ilvl w:val="0"/>
          <w:numId w:val="3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25.3.16</w:t>
      </w:r>
      <w:r>
        <w:rPr>
          <w:rtl w:val="true"/>
        </w:rPr>
        <w:t>;</w:t>
      </w:r>
    </w:p>
    <w:p>
      <w:pPr>
        <w:pStyle w:val="Style15"/>
        <w:numPr>
          <w:ilvl w:val="0"/>
          <w:numId w:val="3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;</w:t>
      </w:r>
    </w:p>
    <w:p>
      <w:pPr>
        <w:pStyle w:val="Style15"/>
        <w:numPr>
          <w:ilvl w:val="0"/>
          <w:numId w:val="3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</w:p>
    <w:p>
      <w:pPr>
        <w:pStyle w:val="Style15"/>
        <w:numPr>
          <w:ilvl w:val="0"/>
          <w:numId w:val="3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;</w:t>
      </w:r>
    </w:p>
    <w:p>
      <w:pPr>
        <w:pStyle w:val="Style15"/>
        <w:numPr>
          <w:ilvl w:val="0"/>
          <w:numId w:val="3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Style15"/>
        <w:numPr>
          <w:ilvl w:val="0"/>
          <w:numId w:val="1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7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43590-01-13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>;</w:t>
      </w:r>
    </w:p>
    <w:p>
      <w:pPr>
        <w:pStyle w:val="Style15"/>
        <w:numPr>
          <w:ilvl w:val="0"/>
          <w:numId w:val="1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;</w:t>
      </w:r>
    </w:p>
    <w:p>
      <w:pPr>
        <w:pStyle w:val="Style15"/>
        <w:numPr>
          <w:ilvl w:val="0"/>
          <w:numId w:val="1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</w:p>
    <w:p>
      <w:pPr>
        <w:pStyle w:val="Style15"/>
        <w:numPr>
          <w:ilvl w:val="0"/>
          <w:numId w:val="1"/>
        </w:numPr>
        <w:spacing w:lineRule="auto" w:line="360" w:before="0" w:after="240"/>
        <w:ind w:hanging="360" w:start="108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;</w:t>
      </w:r>
    </w:p>
    <w:p>
      <w:pPr>
        <w:pStyle w:val="Style15"/>
        <w:numPr>
          <w:ilvl w:val="0"/>
          <w:numId w:val="1"/>
        </w:numPr>
        <w:spacing w:lineRule="auto" w:line="360" w:before="0" w:after="240"/>
        <w:ind w:hanging="360" w:start="1080" w:end="0"/>
        <w:contextualSpacing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</w:p>
    <w:p>
      <w:pPr>
        <w:pStyle w:val="Style15"/>
        <w:spacing w:lineRule="auto" w:line="360" w:before="0" w:after="240"/>
        <w:ind w:start="1080" w:end="0"/>
        <w:contextualSpacing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Style15"/>
        <w:numPr>
          <w:ilvl w:val="0"/>
          <w:numId w:val="2"/>
        </w:numPr>
        <w:spacing w:lineRule="auto" w:line="360" w:before="0" w:after="240"/>
        <w:ind w:hanging="360" w:start="1440" w:end="0"/>
        <w:contextualSpacing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;</w:t>
      </w:r>
    </w:p>
    <w:p>
      <w:pPr>
        <w:pStyle w:val="Style15"/>
        <w:numPr>
          <w:ilvl w:val="0"/>
          <w:numId w:val="2"/>
        </w:numPr>
        <w:spacing w:lineRule="auto" w:line="360" w:before="0" w:after="240"/>
        <w:ind w:hanging="360" w:start="1440" w:end="0"/>
        <w:contextualSpacing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; </w:t>
      </w:r>
    </w:p>
    <w:p>
      <w:pPr>
        <w:pStyle w:val="Style15"/>
        <w:numPr>
          <w:ilvl w:val="0"/>
          <w:numId w:val="2"/>
        </w:numPr>
        <w:spacing w:lineRule="auto" w:line="360" w:before="0" w:after="240"/>
        <w:ind w:hanging="360" w:start="144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;</w:t>
      </w:r>
    </w:p>
    <w:p>
      <w:pPr>
        <w:pStyle w:val="Style15"/>
        <w:numPr>
          <w:ilvl w:val="0"/>
          <w:numId w:val="2"/>
        </w:numPr>
        <w:spacing w:lineRule="auto" w:line="360" w:before="0" w:after="240"/>
        <w:ind w:hanging="360" w:start="144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15.1.18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09.00</w:t>
      </w:r>
      <w:r>
        <w:rPr>
          <w:rtl w:val="true"/>
        </w:rPr>
        <w:t xml:space="preserve"> 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Style15"/>
        <w:spacing w:lineRule="auto" w:line="360" w:before="0" w:after="240"/>
        <w:ind w:start="368" w:end="0"/>
        <w:contextualSpacing/>
        <w:jc w:val="both"/>
        <w:rPr/>
      </w:pPr>
      <w:r>
        <w:rPr>
          <w:rtl w:val="true"/>
        </w:rPr>
      </w:r>
    </w:p>
    <w:p>
      <w:pPr>
        <w:pStyle w:val="Style15"/>
        <w:spacing w:lineRule="auto" w:line="360" w:before="0" w:after="240"/>
        <w:ind w:start="368" w:end="0"/>
        <w:contextualSpacing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93"/>
        <w:gridCol w:w="299"/>
        <w:gridCol w:w="2714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סיוון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יוני </w:t>
            </w:r>
            <w:r>
              <w:rPr>
                <w:rFonts w:cs="Arial" w:ascii="Arial" w:hAnsi="Arial"/>
              </w:rPr>
              <w:t>2017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eastAsia="Courier New" w:cs="Courier New" w:ascii="Courier New" w:hAnsi="Courier New"/>
                <w:b/>
                <w:bCs/>
                <w:rtl w:val="true"/>
                <w:lang w:eastAsia="he-IL"/>
              </w:rPr>
              <w:t xml:space="preserve">   </w:t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9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2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9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71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שרה דותן מרדכי לוי ירון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16644-04-16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 אדם קדושים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4"/>
      <w:numFmt w:val="decimal"/>
      <w:lvlText w:val="%1."/>
      <w:lvlJc w:val="end"/>
      <w:pPr>
        <w:tabs>
          <w:tab w:val="num" w:pos="0"/>
        </w:tabs>
        <w:ind w:start="1211" w:hanging="360"/>
      </w:pPr>
      <w:rPr>
        <w:b/>
        <w:bCs/>
        <w:rFonts w:cs="David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/>
    </w:rPr>
  </w:style>
  <w:style w:type="character" w:styleId="WW8Num4z0">
    <w:name w:val="WW8Num4z0"/>
    <w:qFormat/>
    <w:rPr>
      <w:b/>
    </w:rPr>
  </w:style>
  <w:style w:type="character" w:styleId="WW8Num5z0">
    <w:name w:val="WW8Num5z0"/>
    <w:qFormat/>
    <w:rPr>
      <w:rFonts w:cs="David"/>
      <w:b/>
      <w:bCs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1">
    <w:name w:val="פיסקת רשימה1"/>
    <w:basedOn w:val="Normal"/>
    <w:qFormat/>
    <w:pPr>
      <w:spacing w:lineRule="auto" w:line="360" w:before="0" w:after="240"/>
      <w:ind w:hanging="425" w:start="720" w:end="0"/>
      <w:jc w:val="both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d." TargetMode="External"/><Relationship Id="rId4" Type="http://schemas.openxmlformats.org/officeDocument/2006/relationships/hyperlink" Target="http://www.nevo.co.il/law/70301/40.e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c.b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260" TargetMode="External"/><Relationship Id="rId14" Type="http://schemas.openxmlformats.org/officeDocument/2006/relationships/hyperlink" Target="http://www.nevo.co.il/law/70301/287.b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/329.a.2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jc.b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29.a.1" TargetMode="External"/><Relationship Id="rId23" Type="http://schemas.openxmlformats.org/officeDocument/2006/relationships/hyperlink" Target="http://www.nevo.co.il/law/70301/329.a.2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287.b" TargetMode="External"/><Relationship Id="rId27" Type="http://schemas.openxmlformats.org/officeDocument/2006/relationships/hyperlink" Target="http://www.nevo.co.il/law/70301/260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case/20462239" TargetMode="External"/><Relationship Id="rId30" Type="http://schemas.openxmlformats.org/officeDocument/2006/relationships/hyperlink" Target="http://www.nevo.co.il/case/4749386" TargetMode="External"/><Relationship Id="rId31" Type="http://schemas.openxmlformats.org/officeDocument/2006/relationships/hyperlink" Target="http://www.nevo.co.il/case/4749386" TargetMode="External"/><Relationship Id="rId32" Type="http://schemas.openxmlformats.org/officeDocument/2006/relationships/hyperlink" Target="http://www.nevo.co.il/case/20032343" TargetMode="External"/><Relationship Id="rId33" Type="http://schemas.openxmlformats.org/officeDocument/2006/relationships/hyperlink" Target="http://www.nevo.co.il/case/18749756" TargetMode="External"/><Relationship Id="rId34" Type="http://schemas.openxmlformats.org/officeDocument/2006/relationships/hyperlink" Target="http://www.nevo.co.il/case/18653715" TargetMode="External"/><Relationship Id="rId35" Type="http://schemas.openxmlformats.org/officeDocument/2006/relationships/hyperlink" Target="http://www.nevo.co.il/case/5576705" TargetMode="External"/><Relationship Id="rId36" Type="http://schemas.openxmlformats.org/officeDocument/2006/relationships/hyperlink" Target="http://www.nevo.co.il/case/5753941" TargetMode="External"/><Relationship Id="rId37" Type="http://schemas.openxmlformats.org/officeDocument/2006/relationships/hyperlink" Target="http://www.nevo.co.il/case/4749386" TargetMode="External"/><Relationship Id="rId38" Type="http://schemas.openxmlformats.org/officeDocument/2006/relationships/hyperlink" Target="http://www.nevo.co.il/case/21573563" TargetMode="External"/><Relationship Id="rId39" Type="http://schemas.openxmlformats.org/officeDocument/2006/relationships/hyperlink" Target="http://www.nevo.co.il/case/16980206" TargetMode="External"/><Relationship Id="rId40" Type="http://schemas.openxmlformats.org/officeDocument/2006/relationships/hyperlink" Target="http://www.nevo.co.il/case/21625087" TargetMode="External"/><Relationship Id="rId41" Type="http://schemas.openxmlformats.org/officeDocument/2006/relationships/hyperlink" Target="http://www.nevo.co.il/case/17916668" TargetMode="External"/><Relationship Id="rId42" Type="http://schemas.openxmlformats.org/officeDocument/2006/relationships/hyperlink" Target="http://www.nevo.co.il/case/13114097" TargetMode="External"/><Relationship Id="rId43" Type="http://schemas.openxmlformats.org/officeDocument/2006/relationships/hyperlink" Target="http://www.nevo.co.il/case/21477251" TargetMode="External"/><Relationship Id="rId44" Type="http://schemas.openxmlformats.org/officeDocument/2006/relationships/hyperlink" Target="http://www.nevo.co.il/case/20450586" TargetMode="External"/><Relationship Id="rId45" Type="http://schemas.openxmlformats.org/officeDocument/2006/relationships/hyperlink" Target="http://www.nevo.co.il/case/11206426" TargetMode="External"/><Relationship Id="rId46" Type="http://schemas.openxmlformats.org/officeDocument/2006/relationships/hyperlink" Target="http://www.nevo.co.il/case/4787630" TargetMode="External"/><Relationship Id="rId47" Type="http://schemas.openxmlformats.org/officeDocument/2006/relationships/hyperlink" Target="http://www.nevo.co.il/law/70301/40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c.a" TargetMode="External"/><Relationship Id="rId50" Type="http://schemas.openxmlformats.org/officeDocument/2006/relationships/hyperlink" Target="http://www.nevo.co.il/law/70301/40i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950458" TargetMode="External"/><Relationship Id="rId53" Type="http://schemas.openxmlformats.org/officeDocument/2006/relationships/hyperlink" Target="http://www.nevo.co.il/case/5573417" TargetMode="External"/><Relationship Id="rId54" Type="http://schemas.openxmlformats.org/officeDocument/2006/relationships/hyperlink" Target="http://www.nevo.co.il/case/7730704" TargetMode="External"/><Relationship Id="rId55" Type="http://schemas.openxmlformats.org/officeDocument/2006/relationships/hyperlink" Target="http://www.nevo.co.il/law/70301/40c.b" TargetMode="External"/><Relationship Id="rId56" Type="http://schemas.openxmlformats.org/officeDocument/2006/relationships/hyperlink" Target="http://www.nevo.co.il/law/70301/40ja" TargetMode="External"/><Relationship Id="rId57" Type="http://schemas.openxmlformats.org/officeDocument/2006/relationships/hyperlink" Target="http://www.nevo.co.il/law/70301/40f" TargetMode="External"/><Relationship Id="rId58" Type="http://schemas.openxmlformats.org/officeDocument/2006/relationships/hyperlink" Target="http://www.nevo.co.il/law/70301/40g" TargetMode="External"/><Relationship Id="rId59" Type="http://schemas.openxmlformats.org/officeDocument/2006/relationships/hyperlink" Target="http://www.nevo.co.il/law/70301/40.d.;40.e" TargetMode="External"/><Relationship Id="rId60" Type="http://schemas.openxmlformats.org/officeDocument/2006/relationships/hyperlink" Target="http://www.nevo.co.il/law/70301/40jc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3114097" TargetMode="External"/><Relationship Id="rId63" Type="http://schemas.openxmlformats.org/officeDocument/2006/relationships/hyperlink" Target="http://www.nevo.co.il/case/20291305" TargetMode="External"/><Relationship Id="rId64" Type="http://schemas.openxmlformats.org/officeDocument/2006/relationships/hyperlink" Target="http://www.nevo.co.il/case/20450586" TargetMode="External"/><Relationship Id="rId65" Type="http://schemas.openxmlformats.org/officeDocument/2006/relationships/hyperlink" Target="http://www.nevo.co.il/case/20032343" TargetMode="External"/><Relationship Id="rId66" Type="http://schemas.openxmlformats.org/officeDocument/2006/relationships/hyperlink" Target="http://www.nevo.co.il/case/18749756" TargetMode="External"/><Relationship Id="rId67" Type="http://schemas.openxmlformats.org/officeDocument/2006/relationships/hyperlink" Target="http://www.nevo.co.il/case/5753941" TargetMode="External"/><Relationship Id="rId68" Type="http://schemas.openxmlformats.org/officeDocument/2006/relationships/hyperlink" Target="http://www.nevo.co.il/case/16980206" TargetMode="External"/><Relationship Id="rId69" Type="http://schemas.openxmlformats.org/officeDocument/2006/relationships/hyperlink" Target="http://www.nevo.co.il/case/21625087" TargetMode="External"/><Relationship Id="rId70" Type="http://schemas.openxmlformats.org/officeDocument/2006/relationships/hyperlink" Target="http://www.nevo.co.il/case/17916668" TargetMode="External"/><Relationship Id="rId71" Type="http://schemas.openxmlformats.org/officeDocument/2006/relationships/hyperlink" Target="http://www.nevo.co.il/case/21573563" TargetMode="External"/><Relationship Id="rId72" Type="http://schemas.openxmlformats.org/officeDocument/2006/relationships/hyperlink" Target="http://www.nevo.co.il/case/5573417" TargetMode="External"/><Relationship Id="rId73" Type="http://schemas.openxmlformats.org/officeDocument/2006/relationships/hyperlink" Target="http://www.nevo.co.il/case/4749386" TargetMode="External"/><Relationship Id="rId74" Type="http://schemas.openxmlformats.org/officeDocument/2006/relationships/hyperlink" Target="http://www.nevo.co.il/case/4749386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2017-06-19T08:28:00Z</dcterms:created>
  <dc:creator> </dc:creator>
  <dc:description/>
  <cp:keywords/>
  <dc:language>en-IL</dc:language>
  <cp:lastModifiedBy>run</cp:lastModifiedBy>
  <dcterms:modified xsi:type="dcterms:W3CDTF">2017-06-19T08:28:00Z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 אדם קדושים;שלמה אלקבץ;רפאל אלבז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ProcID=133;209&amp;PartA=3393&amp;PartC=13</vt:lpwstr>
  </property>
  <property fmtid="{D5CDD505-2E9C-101B-9397-08002B2CF9AE}" pid="9" name="CASENOTES2">
    <vt:lpwstr>ProcID=209&amp;PartA=1083&amp;PartC=06</vt:lpwstr>
  </property>
  <property fmtid="{D5CDD505-2E9C-101B-9397-08002B2CF9AE}" pid="10" name="CASENOTES3">
    <vt:lpwstr>ProcID=213&amp;PartA=29&amp;PartC=18</vt:lpwstr>
  </property>
  <property fmtid="{D5CDD505-2E9C-101B-9397-08002B2CF9AE}" pid="11" name="CASESLISTTMP1">
    <vt:lpwstr>20462239;4749386:5;20032343:2;18749756:2;18653715;5576705;5753941:2;21573563:2;16980206:2;21625087:2;17916668:2;13114097:2;21477251;20450586:2;11206426;4787630;6950458;5573417:2;7730704;20291305</vt:lpwstr>
  </property>
  <property fmtid="{D5CDD505-2E9C-101B-9397-08002B2CF9AE}" pid="12" name="CITY">
    <vt:lpwstr>ת"א</vt:lpwstr>
  </property>
  <property fmtid="{D5CDD505-2E9C-101B-9397-08002B2CF9AE}" pid="13" name="DATE">
    <vt:lpwstr>20170614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שרה דותן;מרדכי לוי;ירון לוי</vt:lpwstr>
  </property>
  <property fmtid="{D5CDD505-2E9C-101B-9397-08002B2CF9AE}" pid="17" name="LAWLISTTMP1">
    <vt:lpwstr>70301/499.a.1;329.a.1;329.a.2;244:2;144.b;287.b;260;040b;040c.a;040i;040c.b;40ja;040f;040g;040.d;040.e;40jc.b</vt:lpwstr>
  </property>
  <property fmtid="{D5CDD505-2E9C-101B-9397-08002B2CF9AE}" pid="18" name="LAWYER">
    <vt:lpwstr>גלי חצב;גיא פרידמן;אלי כהן;איריס טוביאנה;אסף טל;גליה אלפסי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16644</vt:lpwstr>
  </property>
  <property fmtid="{D5CDD505-2E9C-101B-9397-08002B2CF9AE}" pid="25" name="NEWPARTB">
    <vt:lpwstr>04</vt:lpwstr>
  </property>
  <property fmtid="{D5CDD505-2E9C-101B-9397-08002B2CF9AE}" pid="26" name="NEWPARTC">
    <vt:lpwstr>16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390020170614</vt:lpwstr>
  </property>
  <property fmtid="{D5CDD505-2E9C-101B-9397-08002B2CF9AE}" pid="37" name="TYPE_N_DATE">
    <vt:lpwstr>39020170614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