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17865-11-21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אלעביד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30" w:type="dxa"/>
            <w:tcBorders/>
          </w:tcPr>
          <w:p>
            <w:pPr>
              <w:pStyle w:val="Header"/>
              <w:spacing w:lineRule="exact" w:line="240" w:before="120" w:after="12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אוקטובר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2024</w:t>
            </w:r>
          </w:p>
        </w:tc>
      </w:tr>
    </w:tbl>
    <w:p>
      <w:pPr>
        <w:pStyle w:val="Normal"/>
        <w:spacing w:lineRule="exact" w:line="240" w:before="120" w:after="12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tbl>
      <w:tblPr>
        <w:bidiVisual w:val="true"/>
        <w:tblW w:w="863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93"/>
        <w:gridCol w:w="5503"/>
        <w:gridCol w:w="66"/>
        <w:gridCol w:w="2175"/>
      </w:tblGrid>
      <w:tr>
        <w:trPr>
          <w:trHeight w:val="292" w:hRule="atLeast"/>
        </w:trPr>
        <w:tc>
          <w:tcPr>
            <w:tcW w:w="89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7744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 גלעד נויטל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 טלי חיימוביץ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 לימור ביבי</w:t>
            </w:r>
          </w:p>
        </w:tc>
      </w:tr>
      <w:tr>
        <w:trPr>
          <w:trHeight w:val="694" w:hRule="atLeast"/>
        </w:trPr>
        <w:tc>
          <w:tcPr>
            <w:tcW w:w="89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69" w:type="dxa"/>
            <w:gridSpan w:val="2"/>
            <w:tcBorders/>
          </w:tcPr>
          <w:p>
            <w:pPr>
              <w:pStyle w:val="Normal"/>
              <w:bidi w:val="0"/>
              <w:spacing w:lineRule="exact" w:line="240" w:before="120" w:after="12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 xml:space="preserve"> -</w:t>
            </w:r>
          </w:p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פנינה לוי </w:t>
            </w:r>
          </w:p>
        </w:tc>
        <w:tc>
          <w:tcPr>
            <w:tcW w:w="2175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2" w:hRule="atLeast"/>
        </w:trPr>
        <w:tc>
          <w:tcPr>
            <w:tcW w:w="8637" w:type="dxa"/>
            <w:gridSpan w:val="4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76" w:hRule="atLeast"/>
        </w:trPr>
        <w:tc>
          <w:tcPr>
            <w:tcW w:w="89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03" w:type="dxa"/>
            <w:tcBorders/>
          </w:tcPr>
          <w:p>
            <w:pPr>
              <w:pStyle w:val="Normal"/>
              <w:bidi w:val="0"/>
              <w:spacing w:lineRule="exact" w:line="240" w:before="120" w:after="12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אחמד אלעביד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-</w:t>
            </w:r>
          </w:p>
          <w:p>
            <w:pPr>
              <w:pStyle w:val="Normal"/>
              <w:bidi w:val="0"/>
              <w:spacing w:lineRule="exact" w:line="240" w:before="120" w:after="12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אורי בן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נתן ושיר שם טוב</w:t>
            </w:r>
          </w:p>
        </w:tc>
        <w:tc>
          <w:tcPr>
            <w:tcW w:w="2241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10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0000FF"/>
          <w:sz w:val="36"/>
          <w:szCs w:val="36"/>
        </w:rPr>
      </w:pPr>
      <w:r>
        <w:rPr>
          <w:rFonts w:cs="David" w:ascii="David" w:hAnsi="David"/>
          <w:color w:val="0000FF"/>
          <w:sz w:val="36"/>
          <w:szCs w:val="36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50,000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מגורים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וביטחונו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הגנה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בטחון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הציבור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ושלומו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ומשמעותית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7-11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50,000</w:t>
      </w:r>
      <w:r>
        <w:rPr>
          <w:rFonts w:cs="FrankRuehl"/>
          <w:szCs w:val="26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36"/>
          <w:szCs w:val="36"/>
        </w:rPr>
      </w:pPr>
      <w:r>
        <w:rPr>
          <w:rFonts w:cs="David" w:ascii="David" w:hAnsi="David"/>
          <w:sz w:val="36"/>
          <w:szCs w:val="3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36"/>
          <w:szCs w:val="36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36"/>
          <w:szCs w:val="36"/>
          <w:u w:val="single"/>
        </w:rPr>
      </w:pPr>
      <w:r>
        <w:rPr>
          <w:rFonts w:cs="David" w:ascii="David" w:hAnsi="David"/>
          <w:b/>
          <w:bCs/>
          <w:sz w:val="36"/>
          <w:szCs w:val="36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השופט גלעד נויטל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נשיא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אב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rFonts w:cs="David" w:ascii="David" w:hAnsi="David"/>
          <w:b/>
          <w:bCs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highlight w:val="yellow"/>
        </w:rPr>
      </w:pPr>
      <w:r>
        <w:rPr>
          <w:rFonts w:ascii="David" w:hAnsi="David"/>
          <w:rtl w:val="true"/>
        </w:rPr>
        <w:t>הצדדים ערכו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בתום הליך גישור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תוקן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הודה בעובדותיו והורשע ביום </w:t>
      </w:r>
      <w:r>
        <w:rPr>
          <w:rFonts w:cs="David" w:ascii="David" w:hAnsi="David"/>
        </w:rPr>
        <w:t>9.1.23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עבירת </w:t>
      </w:r>
      <w:r>
        <w:rPr>
          <w:rFonts w:ascii="David" w:hAnsi="David"/>
          <w:b/>
          <w:b/>
          <w:bCs/>
          <w:rtl w:val="true"/>
        </w:rPr>
        <w:t>חבלה חמורה בכוונה מחמירה</w:t>
      </w:r>
      <w:r>
        <w:rPr>
          <w:rFonts w:ascii="David" w:hAnsi="David"/>
          <w:rtl w:val="true"/>
        </w:rPr>
        <w:t xml:space="preserve"> לפי </w:t>
      </w:r>
      <w:hyperlink r:id="rId2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 xml:space="preserve">עבירה של </w:t>
      </w:r>
      <w:r>
        <w:rPr>
          <w:rFonts w:ascii="David" w:hAnsi="David"/>
          <w:b/>
          <w:b/>
          <w:bCs/>
          <w:rtl w:val="true"/>
        </w:rPr>
        <w:t>נשיאת נשק</w:t>
      </w:r>
      <w:r>
        <w:rPr>
          <w:rFonts w:ascii="David" w:hAnsi="David"/>
          <w:rtl w:val="true"/>
        </w:rPr>
        <w:t xml:space="preserve"> לפי </w:t>
      </w:r>
      <w:hyperlink r:id="rId2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ועבירה של </w:t>
      </w:r>
      <w:r>
        <w:rPr>
          <w:rFonts w:ascii="David" w:hAnsi="David"/>
          <w:b/>
          <w:b/>
          <w:bCs/>
          <w:rtl w:val="true"/>
        </w:rPr>
        <w:t xml:space="preserve">ירי עם נשק חם באזור מגורים </w:t>
      </w:r>
      <w:r>
        <w:rPr>
          <w:rFonts w:ascii="David" w:hAnsi="David"/>
          <w:rtl w:val="true"/>
        </w:rPr>
        <w:t xml:space="preserve">לפי </w:t>
      </w:r>
      <w:hyperlink r:id="rId2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הסדר הטיעון סוכם שאין הסדר לעניין העונש והצדדים ייטענו פתוח לעניין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והתביעה תוכל להגיש תעודות רפואיות במסגרת הטיעונים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בדיון ביום </w:t>
      </w:r>
      <w:r>
        <w:rPr>
          <w:rFonts w:cs="David" w:ascii="David" w:hAnsi="David"/>
        </w:rPr>
        <w:t>9.1.23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הוסכם כי נוכח הודאת הנאשם בסע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צורך בהגשת תעודות רפואיות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בדיון ביום </w:t>
      </w:r>
      <w:r>
        <w:rPr>
          <w:rFonts w:cs="David" w:ascii="David" w:hAnsi="David"/>
        </w:rPr>
        <w:t>21.7.24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סוכם כי כל צד יטען את עיקר הדברים בעניין מצבו הרפואי של 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יאזכר זאת בגזר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 לא יכריע בעניין המצב הרפואי כאשר נפגע העבירה לא העיד ומסמכים רפואיים לא הוגשו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הוגש גיליון המרשם הפלילי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הצדדים טענו לעונש והוגשה 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טיעון התביעה לעונש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בתמצית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 xml:space="preserve">התביעה עתרה לקבוע מתחם עונש הולם שנע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ולמקם את עונשו של הנאשם בשליש הגבוה של המתחם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טיעון ההגנה לעונש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בתמצית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 xml:space="preserve">הסניגור עתר לקביעת מתחם עונש הולם שנע בין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ועתר לגזור את עונשו של הנאשם בתחתית המתחם או בסמוך לתחתית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ולהטיל על 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highlight w:val="yellow"/>
        </w:rPr>
      </w:pPr>
      <w:r>
        <w:rPr>
          <w:rFonts w:cs="David" w:ascii="David" w:hAnsi="David"/>
          <w:b/>
          <w:bCs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אלה מעשי הנאשם על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פי עובדות כתב האישום המתוקן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שבהן הודה הנאשם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24.9.21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23:50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 הנאשם והאחר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מבית ברחוב בתל אביב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כשמי מהם נושא עמו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דעתו של הנאשם או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וכשהוא או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רכובים על גבי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קורקינט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במטרה לאתר את איאד אבו בילאל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ובכוונה לגרום לו לחבלה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אותה שעה נסע המתלונן ברכב מסוג מאזדה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ברחבי העיר תל אביב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יחד עם ווסים אבו בלאל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ווסים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אשר נהג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תרו הנאשם והאחר אחרי המתלונן באזור התחנה במרכזית בתל אביב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00:26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הנאשם או האחר לרחוב השרון בתל אביב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ונכנסו לחניון חשוך בבניין מספר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החניון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והאחר יצאו ונכנסו לחניון עוד פעמים במשך הדקות הבאות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דקות אחדות עובר לשעה </w:t>
      </w:r>
      <w:r>
        <w:rPr>
          <w:rFonts w:cs="David" w:ascii="David" w:hAnsi="David"/>
        </w:rPr>
        <w:t>00:39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שוחח מורד קליואת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מורד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עם ווסים והמתלונן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שיפגשו עמו ברחוב השרון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00:39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ווסים והמתלונן לרחוב השרון ועצרו את רכבם בסמוך למגרש כדורגל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הגעתם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המתלונן מהרכב ונעמד בצדו הימני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 למושב הנוסע הקדמי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 הנאשם או האחר מהחניון לעבר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תוך כדי 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שלפו הנאשם או האחר את האקדח שנשאו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דעת הנאשם והאחר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ירו מספר יריות לעבר פלג גופו התחתון של המתלונן ופגעו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 לגרום לו לנכות או 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לגרום לו 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ווסים מהרכב והסתתר מאחוריו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ומורד שנכח בסמוך התקרב לרכב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הנוכחים במגרש הכדורגל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נסו על נפשם וחיפשו מקום מסתור מהירי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 הכניסו ווסים ומורד את המתלונן לרכב והחלו בנסיעה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מספר שניות נעצרו על ידי ניידת משטרה שהעניקה להם סיוע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מהירי שביצעו הנאשם והאחר 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נפצע המתלונן קשה ונגרמו לו מספר פצעי ירי וחבלות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קרע בשלפוחית השתן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בעכוז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ושברים מרוסקים מרובים בגפיים התחתונות שבהן נותרו שלושה קליעים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הובהל לבית החולים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אושפז במחלקה לטיפול נמרץ ונותח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גרם הנאשם בצוותא עם אחר לחבלה חמורה במתלונן בכוונה להטיל בו נכות או 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הנאשם נשק ללא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ירה בו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Style15"/>
        <w:shd w:fill="auto" w:val="clear"/>
        <w:spacing w:lineRule="auto" w:line="360"/>
        <w:ind w:end="0"/>
        <w:jc w:val="both"/>
        <w:rPr>
          <w:rFonts w:ascii="David" w:hAnsi="David" w:cs="David"/>
          <w:sz w:val="24"/>
          <w:szCs w:val="24"/>
          <w:lang w:eastAsia="en-US"/>
        </w:rPr>
      </w:pPr>
      <w:r>
        <w:rPr>
          <w:rFonts w:ascii="David" w:hAnsi="David" w:cs="David"/>
          <w:sz w:val="24"/>
          <w:sz w:val="24"/>
          <w:szCs w:val="24"/>
          <w:rtl w:val="true"/>
          <w:lang w:eastAsia="en-US"/>
        </w:rPr>
        <w:t>ראיות לעונש</w:t>
      </w:r>
      <w:r>
        <w:rPr>
          <w:rFonts w:cs="David" w:ascii="David" w:hAnsi="David"/>
          <w:sz w:val="24"/>
          <w:szCs w:val="24"/>
          <w:rtl w:val="true"/>
          <w:lang w:eastAsia="en-US"/>
        </w:rPr>
        <w:t>:</w:t>
      </w:r>
    </w:p>
    <w:p>
      <w:pPr>
        <w:pStyle w:val="Style15"/>
        <w:shd w:fill="auto" w:val="clear"/>
        <w:spacing w:lineRule="auto" w:line="360"/>
        <w:ind w:firstLine="2" w:start="-2" w:end="0"/>
        <w:jc w:val="both"/>
        <w:rPr/>
      </w:pPr>
      <w:r>
        <w:rPr>
          <w:rFonts w:ascii="David" w:hAnsi="David" w:cs="David"/>
          <w:sz w:val="24"/>
          <w:sz w:val="24"/>
          <w:szCs w:val="24"/>
          <w:u w:val="none"/>
          <w:rtl w:val="true"/>
          <w:lang w:eastAsia="en-US"/>
        </w:rPr>
        <w:t>ראיות התביעה לעונש</w:t>
      </w:r>
      <w:r>
        <w:rPr>
          <w:rFonts w:cs="David" w:ascii="David" w:hAnsi="David"/>
          <w:sz w:val="24"/>
          <w:szCs w:val="24"/>
          <w:u w:val="none"/>
          <w:rtl w:val="true"/>
          <w:lang w:eastAsia="en-US"/>
        </w:rPr>
        <w:t>: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none"/>
          <w:rtl w:val="true"/>
          <w:lang w:eastAsia="en-US"/>
        </w:rPr>
        <w:t xml:space="preserve">גיליון מרשם פלילי של הנאשם </w:t>
      </w:r>
      <w:r>
        <w:rPr>
          <w:rFonts w:cs="David" w:ascii="David" w:hAnsi="David"/>
          <w:sz w:val="24"/>
          <w:szCs w:val="24"/>
          <w:u w:val="none"/>
          <w:rtl w:val="true"/>
          <w:lang w:eastAsia="en-US"/>
        </w:rPr>
        <w:t>(</w:t>
      </w:r>
      <w:r>
        <w:rPr>
          <w:rFonts w:ascii="David" w:hAnsi="David" w:cs="David"/>
          <w:sz w:val="24"/>
          <w:sz w:val="24"/>
          <w:szCs w:val="24"/>
          <w:u w:val="none"/>
          <w:rtl w:val="true"/>
          <w:lang w:eastAsia="en-US"/>
        </w:rPr>
        <w:t>ת</w:t>
      </w:r>
      <w:r>
        <w:rPr>
          <w:rFonts w:cs="David" w:ascii="David" w:hAnsi="David"/>
          <w:sz w:val="24"/>
          <w:szCs w:val="24"/>
          <w:u w:val="none"/>
          <w:rtl w:val="true"/>
          <w:lang w:eastAsia="en-US"/>
        </w:rPr>
        <w:t>/</w:t>
      </w:r>
      <w:r>
        <w:rPr>
          <w:rFonts w:cs="David" w:ascii="David" w:hAnsi="David"/>
          <w:sz w:val="24"/>
          <w:szCs w:val="24"/>
          <w:u w:val="none"/>
          <w:lang w:eastAsia="en-US"/>
        </w:rPr>
        <w:t>1</w:t>
      </w:r>
      <w:r>
        <w:rPr>
          <w:rFonts w:cs="David" w:ascii="David" w:hAnsi="David"/>
          <w:sz w:val="24"/>
          <w:szCs w:val="24"/>
          <w:u w:val="none"/>
          <w:rtl w:val="true"/>
          <w:lang w:eastAsia="en-US"/>
        </w:rPr>
        <w:t>)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שבו עברו הפלילי כדלקמן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: </w:t>
      </w:r>
      <w:r>
        <w:rPr>
          <w:rFonts w:ascii="David" w:hAnsi="David" w:cs="David"/>
          <w:sz w:val="24"/>
          <w:sz w:val="24"/>
          <w:szCs w:val="24"/>
          <w:u w:val="none"/>
          <w:rtl w:val="true"/>
          <w:lang w:eastAsia="en-US"/>
        </w:rPr>
        <w:t xml:space="preserve">בשנת </w:t>
      </w:r>
      <w:r>
        <w:rPr>
          <w:rFonts w:cs="David" w:ascii="David" w:hAnsi="David"/>
          <w:sz w:val="24"/>
          <w:szCs w:val="24"/>
          <w:u w:val="none"/>
          <w:lang w:eastAsia="en-US"/>
        </w:rPr>
        <w:t>2022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 –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 xml:space="preserve">עבירה של החזקה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/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שימוש בסמים לצריכה עצמית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 xml:space="preserve">בגינה הוטלו על הנאשם הארכת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/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 xml:space="preserve">חידוש מאסר על תנאי למשך שנה והתחייבות להימנע מביצוע עבירה על סך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lang w:eastAsia="en-US"/>
        </w:rPr>
        <w:t>1,000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 ₪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למשך שנתיים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; </w:t>
      </w:r>
      <w:r>
        <w:rPr>
          <w:rFonts w:ascii="David" w:hAnsi="David" w:cs="David"/>
          <w:sz w:val="24"/>
          <w:sz w:val="24"/>
          <w:szCs w:val="24"/>
          <w:u w:val="none"/>
          <w:rtl w:val="true"/>
          <w:lang w:eastAsia="en-US"/>
        </w:rPr>
        <w:t xml:space="preserve">בשנת </w:t>
      </w:r>
      <w:r>
        <w:rPr>
          <w:rFonts w:cs="David" w:ascii="David" w:hAnsi="David"/>
          <w:sz w:val="24"/>
          <w:szCs w:val="24"/>
          <w:u w:val="none"/>
          <w:lang w:eastAsia="en-US"/>
        </w:rPr>
        <w:t>2018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 –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עבירה של יצוא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יבוא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מסחר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הספקה של סמים מסוכנים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בגינה הוטלו על הנאשם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בין היתר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lang w:eastAsia="en-US"/>
        </w:rPr>
        <w:t>7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חודשי מאסר בפועל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 xml:space="preserve">בחופף ומצטבר למאסר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/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מעצר בתיק אחר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; </w:t>
      </w:r>
      <w:r>
        <w:rPr>
          <w:rFonts w:ascii="David" w:hAnsi="David" w:cs="David"/>
          <w:sz w:val="24"/>
          <w:sz w:val="24"/>
          <w:szCs w:val="24"/>
          <w:u w:val="none"/>
          <w:rtl w:val="true"/>
          <w:lang w:eastAsia="en-US"/>
        </w:rPr>
        <w:t>בשנת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 xml:space="preserve"> </w:t>
      </w:r>
      <w:r>
        <w:rPr>
          <w:rFonts w:cs="David" w:ascii="David" w:hAnsi="David"/>
          <w:sz w:val="24"/>
          <w:szCs w:val="24"/>
          <w:u w:val="none"/>
          <w:lang w:eastAsia="en-US"/>
        </w:rPr>
        <w:t>2017</w:t>
      </w:r>
      <w:r>
        <w:rPr>
          <w:rFonts w:cs="David" w:ascii="David" w:hAnsi="David"/>
          <w:sz w:val="24"/>
          <w:szCs w:val="24"/>
          <w:u w:val="none"/>
          <w:rtl w:val="true"/>
          <w:lang w:eastAsia="en-US"/>
        </w:rPr>
        <w:t xml:space="preserve">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–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עבירות של הסגת גבול פלילית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 xml:space="preserve">וגניבה – בגינן הוטל על הנאשם מאסר על תנאי בן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lang w:eastAsia="en-US"/>
        </w:rPr>
        <w:t>4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חודשים למשך שנתיים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; </w:t>
      </w:r>
      <w:r>
        <w:rPr>
          <w:rFonts w:ascii="David" w:hAnsi="David" w:cs="David"/>
          <w:sz w:val="24"/>
          <w:sz w:val="24"/>
          <w:szCs w:val="24"/>
          <w:u w:val="none"/>
          <w:rtl w:val="true"/>
          <w:lang w:eastAsia="en-US"/>
        </w:rPr>
        <w:t xml:space="preserve">בשנת </w:t>
      </w:r>
      <w:r>
        <w:rPr>
          <w:rFonts w:cs="David" w:ascii="David" w:hAnsi="David"/>
          <w:sz w:val="24"/>
          <w:szCs w:val="24"/>
          <w:u w:val="none"/>
          <w:lang w:eastAsia="en-US"/>
        </w:rPr>
        <w:t>2016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 –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עבירה של תקיפה סתם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בגינה הוטלו על הנאשם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ביו היתר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lang w:eastAsia="en-US"/>
        </w:rPr>
        <w:t>86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ימי מאסר בפועל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>.</w:t>
      </w:r>
    </w:p>
    <w:p>
      <w:pPr>
        <w:pStyle w:val="Style15"/>
        <w:shd w:fill="auto" w:val="clear"/>
        <w:spacing w:lineRule="auto" w:line="360"/>
        <w:ind w:end="0"/>
        <w:jc w:val="both"/>
        <w:rPr>
          <w:rFonts w:ascii="David" w:hAnsi="David" w:cs="David"/>
          <w:b w:val="false"/>
          <w:bCs w:val="false"/>
          <w:sz w:val="24"/>
          <w:szCs w:val="24"/>
          <w:u w:val="none"/>
          <w:lang w:eastAsia="en-US"/>
        </w:rPr>
      </w:pP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</w:r>
    </w:p>
    <w:p>
      <w:pPr>
        <w:pStyle w:val="Style15"/>
        <w:shd w:fill="auto" w:val="clear"/>
        <w:spacing w:lineRule="auto" w:line="360"/>
        <w:ind w:hanging="0" w:start="0" w:end="0"/>
        <w:jc w:val="both"/>
        <w:rPr/>
      </w:pPr>
      <w:r>
        <w:rPr>
          <w:rFonts w:ascii="David" w:hAnsi="David" w:cs="David"/>
          <w:sz w:val="24"/>
          <w:sz w:val="24"/>
          <w:szCs w:val="24"/>
          <w:u w:val="none"/>
          <w:rtl w:val="true"/>
          <w:lang w:eastAsia="en-US"/>
        </w:rPr>
        <w:t>ראיות ההגנה לעונש</w:t>
      </w:r>
      <w:r>
        <w:rPr>
          <w:rFonts w:cs="David" w:ascii="David" w:hAnsi="David"/>
          <w:sz w:val="24"/>
          <w:szCs w:val="24"/>
          <w:u w:val="none"/>
          <w:rtl w:val="true"/>
          <w:lang w:eastAsia="en-US"/>
        </w:rPr>
        <w:t>: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לא הוגשו ראיות לעונש מטעם ההגנה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>.</w:t>
      </w:r>
    </w:p>
    <w:p>
      <w:pPr>
        <w:pStyle w:val="Style15"/>
        <w:shd w:fill="auto" w:val="clear"/>
        <w:spacing w:lineRule="auto" w:line="360"/>
        <w:ind w:hanging="0" w:start="84" w:end="0"/>
        <w:jc w:val="both"/>
        <w:rPr>
          <w:rFonts w:ascii="David" w:hAnsi="David" w:cs="David"/>
          <w:b w:val="false"/>
          <w:bCs w:val="false"/>
          <w:sz w:val="24"/>
          <w:szCs w:val="24"/>
          <w:u w:val="none"/>
          <w:lang w:eastAsia="en-US"/>
        </w:rPr>
      </w:pP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</w:r>
    </w:p>
    <w:p>
      <w:pPr>
        <w:pStyle w:val="Style15"/>
        <w:shd w:fill="auto" w:val="clear"/>
        <w:spacing w:lineRule="auto" w:line="360"/>
        <w:ind w:end="0"/>
        <w:jc w:val="both"/>
        <w:rPr>
          <w:rFonts w:ascii="David" w:hAnsi="David" w:cs="David"/>
          <w:sz w:val="24"/>
          <w:szCs w:val="24"/>
          <w:lang w:eastAsia="en-US"/>
        </w:rPr>
      </w:pPr>
      <w:r>
        <w:rPr>
          <w:rFonts w:ascii="David" w:hAnsi="David" w:cs="David"/>
          <w:sz w:val="24"/>
          <w:sz w:val="24"/>
          <w:szCs w:val="24"/>
          <w:rtl w:val="true"/>
          <w:lang w:eastAsia="en-US"/>
        </w:rPr>
        <w:t>טיעוני הצדדים לעונש</w:t>
      </w:r>
      <w:r>
        <w:rPr>
          <w:rFonts w:cs="David" w:ascii="David" w:hAnsi="David"/>
          <w:sz w:val="24"/>
          <w:szCs w:val="24"/>
          <w:u w:val="none"/>
          <w:rtl w:val="true"/>
          <w:lang w:eastAsia="en-US"/>
        </w:rPr>
        <w:t>:</w:t>
      </w:r>
    </w:p>
    <w:p>
      <w:pPr>
        <w:pStyle w:val="Style15"/>
        <w:shd w:fill="auto" w:val="clear"/>
        <w:spacing w:lineRule="auto" w:line="360"/>
        <w:ind w:hanging="0" w:start="0" w:end="0"/>
        <w:jc w:val="both"/>
        <w:rPr/>
      </w:pPr>
      <w:r>
        <w:rPr>
          <w:rFonts w:ascii="David" w:hAnsi="David" w:cs="David"/>
          <w:sz w:val="24"/>
          <w:sz w:val="24"/>
          <w:szCs w:val="24"/>
          <w:u w:val="none"/>
          <w:rtl w:val="true"/>
          <w:lang w:eastAsia="en-US"/>
        </w:rPr>
        <w:t>טיעוני התביעה לעונש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 xml:space="preserve">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>(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עמ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'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lang w:eastAsia="en-US"/>
        </w:rPr>
        <w:t>20-24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לפר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'),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בתמצית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: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התובעת הפנתה לכתב האישום המתוקן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לפיו הנאשם בצוותא עם אחר ארבו למתלונן לאחר שבמשך שעה ארוכה תרו אחריו ברחבי ת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>"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א וירו במתלונן בצוותא חדא מספר יריות שפגעו במתלונן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לדברי התובעת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 xml:space="preserve">חומרה נוספת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ש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 xml:space="preserve">עולה מעובדות כתב האישום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היא שב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שעה שהיריות נורו לעבר המתלונן כשהוא עומד שמאחוריו מגרש כדורגל ובאותה שעה ילדים שהיו במגרש נסו על נפשם למשמע היריות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ולטענתה רק בנס לא הסתיים האירוע החמור עם קורבנות נוספים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התובעת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והאחר הכינו עצמם לאירוע מבעוד 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הצטיידו באקדח וחיפשו את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מיקמו את עצמם בחניון חשוך שם ארבו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ולדבריה פצעי הירי המרובים שנמצאו על פלג גופו התחתון של המתלונן מצביעים על כך שהיו חדורי מטרה לפגוע פגיעה אנושה בכל מחיר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החומרה נובעת גם מהפזיזות של הנאשם והקלות הבלתי נסבלת של עבריינים שמנהלים את המלחמות שלהם מעל לראשיהם של ילדים וחפים מפשע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יעלה על הדעת שאזרחים במדינה יחששו לשהות במקומות ציבוריים שמא יתרחש אירוע ירי אלים או מסכן 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בית המשפט לצאת במסר תקיף וחד משמעי כלפי נאשמים שעומדים לדין בגין ירי בנשק חם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למצות את הדין עם הנאשם בהרחקתו ושלילת חירותו לתקופה ממושכת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בנוגע לנסיבות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 התובעת כאמור מעשי הנאשם והאחר הינם פרי תכנון מוקדם ולא מדובר באירוע ספונטני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לחלקו היחסי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התובעת שהביצוע בצוותא כשלעצמו מהווה נסיבה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על פי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והפסיקה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כאשר השותפות היא הרמה הגבוהה ביותר לביצוע באחריות מלאה והיא מטילה אחריות שווה על השותפים לביצוע העבירה באותה מידה גם בעונשם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לנזק שנגרם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התייחסה התובעת למצבו הרפואי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שלדבריה נגרמו למתלונן פצעי ירי בפלג גופו התחתון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קרע בשלפוחית השתן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שברים באגן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בעכוז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שברים מרוסקים מרובים בגפיים התחתונים ובאגן נותרו שלושה קליעים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הובהל לבית החולים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אושפז במחלקה לטיפול נמרץ ונותח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באשר לנסיבות שאינו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לדברי התובעת הנאשם כבן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עצור מאוקטובר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בעל עבר פלילי והפנתה לגיליון מרשם 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וציינה שעל אף 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זה מאסרו הראשון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באשר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התביעה סבורה שבשל הנסיבות החמורות במעשיו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כשלדבריה עמדה זו מתחייבת מהערך של קדושת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זכותו של אדם לשלמות הגוף וביטחון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התובעת עתרה לקבוע מתחם עונש כולל לכל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מכיוון שמדובר באירוע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ציינה התובעת כי העבירה החמורה היא עבירת החבלה חמורה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שתי העבירות הנוספות הן עבירות שנושאות לבדן מתחם של למעלה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התובעת עתרה למקם את עונשו של הנאשם בשליש הגבוה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העובדה שמדובר באדם שהוא אינו מאוד צעיר על פי הפסיקה ובעל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התובעת ירי מנשק חם שפוגע בקורבן ופוצע אותו בצורה שהיא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מצריך ענישה בצד החמור יותר של העבירה לפי </w:t>
      </w:r>
      <w:hyperlink r:id="rId30">
        <w:r>
          <w:rPr>
            <w:rStyle w:val="Hyperlink"/>
            <w:rFonts w:ascii="David" w:hAnsi="David"/>
            <w:rtl w:val="true"/>
          </w:rPr>
          <w:t>סע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329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שמנעד הענישה בעבירה זו הוא רחב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התובעת הגישה פסיקה לעניין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ואבחנה 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ולדבריה בית המשפט העליון שב ועמד לא אחת על חומרתן של עבירות האלימות שמסכנות את הציבור ושנעשות תוך שימוש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והדגיש שיש צורך במדיניות ענישה חמורה שיהיה בה כדי להביא להרתעת הרבים במיגור התופעה מהחברה</w:t>
      </w:r>
      <w:r>
        <w:rPr>
          <w:rFonts w:cs="David" w:ascii="David" w:hAnsi="David"/>
          <w:rtl w:val="true"/>
        </w:rPr>
        <w:t>.</w:t>
      </w:r>
    </w:p>
    <w:p>
      <w:pPr>
        <w:pStyle w:val="Style15"/>
        <w:shd w:fill="auto" w:val="clear"/>
        <w:spacing w:lineRule="auto" w:line="360"/>
        <w:ind w:hanging="0" w:start="0" w:end="0"/>
        <w:jc w:val="both"/>
        <w:rPr>
          <w:rFonts w:ascii="David" w:hAnsi="David" w:cs="David"/>
          <w:b w:val="false"/>
          <w:bCs w:val="false"/>
          <w:sz w:val="24"/>
          <w:szCs w:val="24"/>
          <w:u w:val="none"/>
          <w:lang w:eastAsia="en-US"/>
        </w:rPr>
      </w:pP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</w:r>
    </w:p>
    <w:p>
      <w:pPr>
        <w:pStyle w:val="Style15"/>
        <w:shd w:fill="auto" w:val="clear"/>
        <w:spacing w:lineRule="auto" w:line="360"/>
        <w:ind w:hanging="0" w:start="0" w:end="0"/>
        <w:jc w:val="both"/>
        <w:rPr/>
      </w:pPr>
      <w:r>
        <w:rPr>
          <w:rFonts w:ascii="David" w:hAnsi="David" w:cs="David"/>
          <w:sz w:val="24"/>
          <w:sz w:val="24"/>
          <w:szCs w:val="24"/>
          <w:u w:val="none"/>
          <w:rtl w:val="true"/>
          <w:lang w:eastAsia="en-US"/>
        </w:rPr>
        <w:t>טיעוני ההגנה לעונש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 xml:space="preserve">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>(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עמ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'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lang w:eastAsia="en-US"/>
        </w:rPr>
        <w:t>24-28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לפר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'),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בתמצית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: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לדברי הסניגור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 xml:space="preserve">האירוע קרה בספטמבר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lang w:eastAsia="en-US"/>
        </w:rPr>
        <w:t>2021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 xml:space="preserve">טרם תיקון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lang w:eastAsia="en-US"/>
        </w:rPr>
        <w:t>145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ל</w:t>
      </w:r>
      <w:hyperlink r:id="rId31">
        <w:r>
          <w:rPr>
            <w:rStyle w:val="Hyperlink"/>
            <w:rFonts w:ascii="David" w:hAnsi="David" w:cs="David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  <w:lang w:eastAsia="en-US"/>
          </w:rPr>
          <w:t>חוק העונשין</w:t>
        </w:r>
      </w:hyperlink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 xml:space="preserve"> שהוא תיקון בעבירות נשק מדצמבר 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lang w:eastAsia="en-US"/>
        </w:rPr>
        <w:t>2021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u w:val="none"/>
          <w:rtl w:val="true"/>
          <w:lang w:eastAsia="en-US"/>
        </w:rPr>
        <w:t>כך שכל החמרה בעבירות הנשק לא יכולה לחול על הנאשם</w:t>
      </w:r>
      <w:r>
        <w:rPr>
          <w:rFonts w:cs="David" w:ascii="David" w:hAnsi="David"/>
          <w:b w:val="false"/>
          <w:bCs w:val="false"/>
          <w:sz w:val="24"/>
          <w:szCs w:val="24"/>
          <w:u w:val="none"/>
          <w:rtl w:val="true"/>
          <w:lang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הסניגור הגיש פסיקה בעניין ביצוע של מערערים כקבוצה ואבחנה ביניהם על אף העובדה שהם מבצעים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ולטענת הסניגור יש להניח לטובת הנאשם שהאחר הוא היורה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שבכתב האישום לא מצוין מי מהשניים 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וכפועל יוצא העונש שלו צריך להיות פחות מהמתחם הרגיל בתיק שמוסכם שהנאשם הוא היורה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בשיקולים לקולא בנסיבות ביצוע העבירות יש להתחשב בעובדה שזהות היורה בפועל לא 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החומרה בביצוע בצוותא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הירי כוון אך ורק לפלג הגוף התחתון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דווקא העובדה שהירי בוצע מקרוב זהו שיקול נוסף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לא מסכן אנשים אחרים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הסניגור הגיש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ואבחן 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התייחס לפסיקה שהגישה התובעת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באשר לנסיבות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התייחס הסניגור לגיליון מרשם 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ולדבריו הנאשם לא ריצה מאסרים ארוכים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לו לדבריו רקע עברייני כבד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בריצוף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בניית כבישים ועבודות שיש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מבחינת נטילת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שמדובר בנאשם שהודה ולא ניהל את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חלפו כמעט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מאז 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לדברי הסניגור הנאשם במעצר תקופה ארוכה ולא פשוטה שהחלה בקורונה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מאז אוקטובר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הסניגור עתר לקביעת מתחם עונש הולם שנע בין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ועתר לגזור את עונשו של הנאשם בתחתית המתחם או בסמוך לתחתית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ולהטיל על 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rtl w:val="true"/>
        </w:rPr>
        <w:t xml:space="preserve">הנאשם בדבריו בבית המשפט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</w:t>
      </w:r>
      <w:r>
        <w:rPr>
          <w:rFonts w:cs="David" w:ascii="David" w:hAnsi="David"/>
          <w:rtl w:val="true"/>
        </w:rPr>
        <w:t xml:space="preserve">') </w:t>
      </w:r>
      <w:r>
        <w:rPr>
          <w:rFonts w:ascii="David" w:hAnsi="David"/>
          <w:rtl w:val="true"/>
        </w:rPr>
        <w:t>אמר שהוא מבקש סליחה על מה שעשה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דיון וגזירת העונש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ascii="David" w:hAnsi="David"/>
          <w:rtl w:val="true"/>
        </w:rPr>
        <w:t>הנאשם הודה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 בעבירות של</w:t>
      </w:r>
      <w:r>
        <w:rPr>
          <w:rFonts w:ascii="David" w:hAnsi="David"/>
          <w:b/>
          <w:b/>
          <w:bCs/>
          <w:rtl w:val="true"/>
        </w:rPr>
        <w:t xml:space="preserve"> חבלה חמורה בכוונה מחמירה</w:t>
      </w:r>
      <w:r>
        <w:rPr>
          <w:rFonts w:ascii="David" w:hAnsi="David"/>
          <w:rtl w:val="true"/>
        </w:rPr>
        <w:t xml:space="preserve"> לפי </w:t>
      </w:r>
      <w:hyperlink r:id="rId3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ז–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נשיאת נשק</w:t>
      </w:r>
      <w:r>
        <w:rPr>
          <w:rFonts w:ascii="David" w:hAnsi="David"/>
          <w:rtl w:val="true"/>
        </w:rPr>
        <w:t xml:space="preserve"> לפי </w:t>
      </w:r>
      <w:hyperlink r:id="rId3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ירי עם נשק חם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בעבירות הקשורות זו בזו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חלק מאותה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תכנית עבריינית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לפי מבחן הקשר ההדוק אשר נקבע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לראות בכלל העבירות שביצע הנאשם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בהקשר זה ראו</w:t>
      </w:r>
      <w:r>
        <w:rPr>
          <w:rFonts w:cs="David" w:ascii="David" w:hAnsi="David"/>
          <w:rtl w:val="true"/>
        </w:rPr>
        <w:t xml:space="preserve">: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29.10.14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וראו גם 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2455/21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ברמלי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6.7.23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בסע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גם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סברו 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אציע אפוא לחברותיי לקבוע מתחם עונש הולם אחד לכל העבירות שבהן הודה והורשע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 הענישה ייקבע בהתאם לעקרון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מדיניות הענישה הנהוגה והנסיבות הקשורות בביצוע העבירות </w:t>
      </w:r>
      <w:r>
        <w:rPr>
          <w:rFonts w:cs="David" w:ascii="David" w:hAnsi="David"/>
          <w:rtl w:val="true"/>
        </w:rPr>
        <w:t>[</w:t>
      </w:r>
      <w:hyperlink r:id="rId38">
        <w:r>
          <w:rPr>
            <w:rStyle w:val="Hyperlink"/>
            <w:rFonts w:ascii="David" w:hAnsi="David"/>
            <w:b/>
            <w:b/>
            <w:bCs/>
            <w:rtl w:val="true"/>
          </w:rPr>
          <w:t>סע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ב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hyperlink r:id="rId39"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ג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hyperlink r:id="rId40"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ט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hyperlink r:id="rId41"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יג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0000"/>
          <w:u w:val="single"/>
        </w:rPr>
      </w:pPr>
      <w:r>
        <w:rPr>
          <w:rFonts w:cs="David" w:ascii="David" w:hAnsi="David"/>
          <w:b/>
          <w:bCs/>
          <w:color w:val="FF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מתחם העונש ההולם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הערכים החברתיים שנפגעו מביצוע עבירת החבלה חמורה בכוונה מחמירה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rtl w:val="true"/>
        </w:rPr>
        <w:t>התכליות העומדות בבסיס הענישה על עבירה זו הן 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וההגנה על שלום הציבור 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כי שלמות הגוף היא זכות יסוד מקודשת שאין להתיר לאיש לפגוע בזכות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יפים בהקשר זה דבריו של בית המשפט העליון</w:t>
      </w:r>
      <w:r>
        <w:rPr>
          <w:rFonts w:cs="David" w:ascii="David" w:hAnsi="David"/>
          <w:rtl w:val="true"/>
        </w:rPr>
        <w:t>:</w:t>
      </w:r>
    </w:p>
    <w:p>
      <w:pPr>
        <w:pStyle w:val="Ruller42"/>
        <w:ind w:start="281" w:end="426"/>
        <w:jc w:val="both"/>
        <w:rPr>
          <w:rFonts w:ascii="David" w:hAnsi="David" w:cs="David"/>
          <w:spacing w:val="0"/>
          <w:sz w:val="24"/>
          <w:szCs w:val="24"/>
        </w:rPr>
      </w:pP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"...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יש לשוב ולהדגיש כי זכותו של כל אדם לחיים ולשלמות הגוף היא זכות יסוד מקודשת ואין להתיר לאיש לפגוע בזכות זו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יש להלחם באלימות שפשטה בחברה הישראלית על כל צורותיה וגווניה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אם בתוך המשפחה ואם מחוצה לה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אם בקרב בני נוער ואם בקרב מבוגרים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זהו נגע רע שיש לבערו מן היסוד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..." </w:t>
      </w:r>
      <w:r>
        <w:rPr>
          <w:rFonts w:cs="David" w:ascii="David" w:hAnsi="David"/>
          <w:spacing w:val="0"/>
          <w:sz w:val="24"/>
          <w:szCs w:val="24"/>
          <w:rtl w:val="true"/>
        </w:rPr>
        <w:t>(</w:t>
      </w:r>
      <w:hyperlink r:id="rId42"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</w:rPr>
          <w:t>3863/09</w:t>
        </w:r>
      </w:hyperlink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חסן</w:t>
      </w:r>
      <w:r>
        <w:rPr>
          <w:rFonts w:cs="David" w:ascii="David" w:hAnsi="David"/>
          <w:spacing w:val="0"/>
          <w:sz w:val="24"/>
          <w:szCs w:val="24"/>
          <w:rtl w:val="true"/>
        </w:rPr>
        <w:t>, [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נבו</w:t>
      </w:r>
      <w:r>
        <w:rPr>
          <w:rFonts w:cs="David" w:ascii="David" w:hAnsi="David"/>
          <w:spacing w:val="0"/>
          <w:sz w:val="24"/>
          <w:szCs w:val="24"/>
          <w:rtl w:val="true"/>
        </w:rPr>
        <w:t>]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pacing w:val="0"/>
          <w:sz w:val="24"/>
          <w:szCs w:val="24"/>
        </w:rPr>
        <w:t>10.11.09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בסע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' </w:t>
      </w:r>
      <w:r>
        <w:rPr>
          <w:rFonts w:cs="David" w:ascii="David" w:hAnsi="David"/>
          <w:spacing w:val="0"/>
          <w:sz w:val="24"/>
          <w:szCs w:val="24"/>
        </w:rPr>
        <w:t>21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לפסה</w:t>
      </w:r>
      <w:r>
        <w:rPr>
          <w:rFonts w:cs="David" w:ascii="David" w:hAnsi="David"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וראו גם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: </w:t>
      </w:r>
      <w:hyperlink r:id="rId43"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</w:rPr>
          <w:t>3498/19</w:t>
        </w:r>
      </w:hyperlink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זרבאילוב</w:t>
      </w:r>
      <w:r>
        <w:rPr>
          <w:rFonts w:cs="David" w:ascii="David" w:hAnsi="David"/>
          <w:spacing w:val="0"/>
          <w:sz w:val="24"/>
          <w:szCs w:val="24"/>
          <w:rtl w:val="true"/>
        </w:rPr>
        <w:t>, [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נבו</w:t>
      </w:r>
      <w:r>
        <w:rPr>
          <w:rFonts w:cs="David" w:ascii="David" w:hAnsi="David"/>
          <w:spacing w:val="0"/>
          <w:sz w:val="24"/>
          <w:szCs w:val="24"/>
          <w:rtl w:val="true"/>
        </w:rPr>
        <w:t>]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pacing w:val="0"/>
          <w:sz w:val="24"/>
          <w:szCs w:val="24"/>
        </w:rPr>
        <w:t>15.9.20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בסע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' </w:t>
      </w:r>
      <w:r>
        <w:rPr>
          <w:rFonts w:cs="David" w:ascii="David" w:hAnsi="David"/>
          <w:spacing w:val="0"/>
          <w:sz w:val="24"/>
          <w:szCs w:val="24"/>
        </w:rPr>
        <w:t>18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לפסה</w:t>
      </w:r>
      <w:r>
        <w:rPr>
          <w:rFonts w:cs="David" w:ascii="David" w:hAnsi="David"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spacing w:val="0"/>
          <w:sz w:val="24"/>
          <w:szCs w:val="24"/>
          <w:rtl w:val="true"/>
        </w:rPr>
        <w:t>).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pacing w:val="0"/>
          <w:sz w:val="24"/>
          <w:szCs w:val="24"/>
        </w:rPr>
      </w:pP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הערכים החברתיים שנפגעו מביצוע עבירות הנשיאת 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וירי עם נשק חם באזור מגורים שביצע הנאשם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rtl w:val="true"/>
        </w:rPr>
        <w:t xml:space="preserve">התכלית העומדת בבסיס הענישה על ביצוע עבירות אלה היא </w:t>
      </w:r>
      <w:r>
        <w:rPr>
          <w:rFonts w:ascii="David" w:hAnsi="David" w:eastAsia="Calibri"/>
          <w:rtl w:val="true"/>
        </w:rPr>
        <w:t>הגנה על בטחון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 קבע בית המשפט העליון בהקשר זה</w:t>
      </w:r>
      <w:r>
        <w:rPr>
          <w:rFonts w:cs="David" w:ascii="David" w:hAnsi="David"/>
          <w:rtl w:val="true"/>
        </w:rPr>
        <w:t>:</w:t>
      </w:r>
    </w:p>
    <w:p>
      <w:pPr>
        <w:pStyle w:val="a0"/>
        <w:shd w:fill="FFFFFF" w:val="clear"/>
        <w:bidi w:val="1"/>
        <w:spacing w:lineRule="auto" w:line="360" w:before="0" w:after="0"/>
        <w:ind w:start="281" w:end="426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בית משפט זה הדגיש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חזור ואמור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את חומרתן הרבה של העבירות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את הצורך במיגורן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ואת ההרתעה הנדרשת בענישה של מי שמבקשים להציב סכנה ממשית לשלום הציבור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 w:cs="David"/>
          <w:b/>
          <w:b/>
          <w:bCs/>
          <w:rtl w:val="true"/>
        </w:rPr>
        <w:t>בתוך 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ניכרת בשנים האחרונות מגמת החמרה בענישה בעבירות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בדמות מאסר ממושך לריצוי בפועל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hyperlink r:id="rId4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3793/20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מורייחי</w:t>
      </w:r>
      <w:r>
        <w:rPr>
          <w:rFonts w:cs="David" w:ascii="David" w:hAnsi="David"/>
          <w:rtl w:val="true"/>
        </w:rPr>
        <w:t>, [</w:t>
      </w:r>
      <w:r>
        <w:rPr>
          <w:rFonts w:ascii="David" w:hAnsi="David" w:cs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מיום </w:t>
      </w:r>
      <w:r>
        <w:rPr>
          <w:rFonts w:cs="David" w:ascii="David" w:hAnsi="David"/>
        </w:rPr>
        <w:t>23.11.20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בסע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לפסה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ד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281" w:end="426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עצם החזקת הנשק שלא כדין על ידי המערער מהווה איום על שלום הציבור ועל הסדר הציבורי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כפי שצוין בעבר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החזקת נשק מהווה תשתית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גורם בלתו איין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>למגוון רחב של עבירות – בהן גם עבירת החבלה בכוונה מחמירה אותה ביצע המערער בסופו של יום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פעמים רבות בעבר עמד בית משפט זה על החשיבות שבהטלת עונשים חמורים ומרתיעים בגין שימוש בנשק חם בכלל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ולצורך פתרון סכסוכים בפרט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הדברים יפים במיוחד בכל הנוגע לעבירות ירי בנשק חם בסביבת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מהן נשקפת חומרה יתרה</w:t>
      </w:r>
      <w:r>
        <w:rPr>
          <w:rFonts w:cs="David" w:ascii="David" w:hAnsi="David"/>
          <w:b/>
          <w:bCs/>
          <w:rtl w:val="true"/>
        </w:rPr>
        <w:t xml:space="preserve">..." </w:t>
      </w:r>
      <w:r>
        <w:rPr>
          <w:rFonts w:cs="David" w:ascii="David" w:hAnsi="David"/>
          <w:rtl w:val="true"/>
        </w:rPr>
        <w:t>(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7473/20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מחאמיד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29.6.21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בסע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מידת הפגיעה בערכים החברתיים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rtl w:val="true"/>
        </w:rPr>
        <w:t>כמפורט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 הנאשם והאחר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כשמי מהם נושא עמו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דעתו של הנאשם או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לאתר את המתלונן ובכוונה לגרום לו לחבלה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תוך כדי 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שלפו הנאשם או האחר את האקדח שנשאו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דעת הנאשם והאחר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ירו מספר יריות לעבר פלג גופו התחתון של המתלונן ופגעו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 לגרום לו לנכות או 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לגרום לו 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הנוכחים במגרש הכדורגל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נסו על נפשם וחיפשו מקום מסתור מהירי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מהירי שביצעו הנאשם והאחר 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נפצע המתלונן קשה ונגרמו לו מספר פצעי ירי וחבלות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 הפגיעה בערכים החברתיים היא אפוא קשה ומשמעותית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נסיבות הקשורות בביצוע העבירות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[</w:t>
      </w:r>
      <w:hyperlink r:id="rId46">
        <w:r>
          <w:rPr>
            <w:rStyle w:val="Hyperlink"/>
            <w:rFonts w:ascii="David" w:hAnsi="David"/>
            <w:b/>
            <w:b/>
            <w:bCs/>
            <w:rtl w:val="true"/>
          </w:rPr>
          <w:t>סע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ט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לחוק</w:t>
      </w:r>
      <w:r>
        <w:rPr>
          <w:rFonts w:cs="David" w:ascii="David" w:hAnsi="David"/>
          <w:u w:val="single"/>
          <w:rtl w:val="true"/>
        </w:rPr>
        <w:softHyphen/>
        <w:t>]: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התכנון שקדם לביצוע העבירות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hyperlink r:id="rId47">
        <w:r>
          <w:rPr>
            <w:rStyle w:val="Hyperlink"/>
            <w:rFonts w:ascii="David" w:hAnsi="David"/>
            <w:b/>
            <w:b/>
            <w:bCs/>
            <w:rtl w:val="true"/>
          </w:rPr>
          <w:t>סע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ט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)(</w:t>
        </w:r>
        <w:r>
          <w:rPr>
            <w:rStyle w:val="Hyperlink"/>
            <w:rFonts w:cs="David" w:ascii="David" w:hAnsi="David"/>
            <w:b/>
            <w:bCs/>
          </w:rPr>
          <w:t>1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] –</w:t>
      </w:r>
      <w:r>
        <w:rPr>
          <w:rFonts w:cs="David" w:ascii="David" w:hAnsi="David"/>
          <w:color w:val="FF0000"/>
          <w:rtl w:val="true"/>
        </w:rPr>
        <w:t xml:space="preserve"> </w:t>
      </w:r>
      <w:r>
        <w:rPr>
          <w:rFonts w:ascii="David" w:hAnsi="David"/>
          <w:rtl w:val="true"/>
        </w:rPr>
        <w:t>כמפורט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 הנאשם והאחר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מבית ברחוב בתל אביב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כשמי מהם נושא עמו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דעתו של הנאשם או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וכשהוא או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רכובים על גבי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קורקינט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במטרה לאתר את המתלונן ובכוונה לגרום לו לחבלה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והאחר תרו אחרי המתלונן באזור התחנה במרכזית בתל אביב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00:26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הנאשם או האחר לרחוב השרון בתל אביב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ונכנסו לחניון חשוך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והאחר יצאו ונכנסו לחניון עוד פעמים במשך הדקות הבאות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דקות אחדות עובר לשעה </w:t>
      </w:r>
      <w:r>
        <w:rPr>
          <w:rFonts w:cs="David" w:ascii="David" w:hAnsi="David"/>
        </w:rPr>
        <w:t>00:39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 מורד עם ווסים והמתלונן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שיפגשו עמו ברחוב השרון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עצרו את רכבם בסמוך למגרש כדורגל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יצא מהרכב ומיד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 הנאשם או האחר מהחניון לעבר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תוך כדי 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שלפו הנאשם או האחר את האקדח שנשאו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דעת הנאשם והאחר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ירו מספר יריות לעבר פלג גופו התחתון של המתלונן ופגעו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מקרוב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מן הדברים האמורים עולה תכנון מוקדם של הנאשם והאחר אשר קדם לביצוע 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חלקו היחסי של הנאשם בביצוע העבירות </w:t>
      </w:r>
      <w:r>
        <w:rPr>
          <w:rFonts w:cs="David" w:ascii="David" w:hAnsi="David"/>
          <w:rtl w:val="true"/>
        </w:rPr>
        <w:t>[</w:t>
      </w:r>
      <w:hyperlink r:id="rId48">
        <w:r>
          <w:rPr>
            <w:rStyle w:val="Hyperlink"/>
            <w:rFonts w:ascii="David" w:hAnsi="David"/>
            <w:b/>
            <w:b/>
            <w:bCs/>
            <w:rtl w:val="true"/>
          </w:rPr>
          <w:t>סע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ט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)(</w:t>
        </w:r>
        <w:r>
          <w:rPr>
            <w:rStyle w:val="Hyperlink"/>
            <w:rFonts w:cs="David" w:ascii="David" w:hAnsi="David"/>
            <w:b/>
            <w:bCs/>
          </w:rPr>
          <w:t>2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] –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כמפורט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או האחר נשאו את האקדח וירו ממנו לעבר המתלונן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והאחר ביצעו את העבירות בצוותא חדא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הנזק שהיה צפוי להיגרם מביצוע העבירות </w:t>
      </w:r>
      <w:r>
        <w:rPr>
          <w:rFonts w:cs="David" w:ascii="David" w:hAnsi="David"/>
          <w:rtl w:val="true"/>
        </w:rPr>
        <w:t>[</w:t>
      </w:r>
      <w:hyperlink r:id="rId49">
        <w:r>
          <w:rPr>
            <w:rStyle w:val="Hyperlink"/>
            <w:rFonts w:ascii="David" w:hAnsi="David"/>
            <w:b/>
            <w:b/>
            <w:bCs/>
            <w:rtl w:val="true"/>
          </w:rPr>
          <w:t>סע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ט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)(</w:t>
        </w:r>
        <w:r>
          <w:rPr>
            <w:rStyle w:val="Hyperlink"/>
            <w:rFonts w:cs="David" w:ascii="David" w:hAnsi="David"/>
            <w:b/>
            <w:bCs/>
          </w:rPr>
          <w:t>3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] –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כמפורט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מהירי שביצעו הנאשם והאחר 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נפצע המתלונן קשה ונגרמו לו מספר פצעי ירי וחבלות חמורות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הנזק למתלונן יכול היה להיות גדול אף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הנוכחים במגרש הכדורגל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נסו על נפשם וחיפשו מקום מסתור מהירי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ובמזל לא נפגעו עוברי אורח כתוצאה ממעשיהם של הנאשם והאחר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הנזקים שנגרם מביצוע העבירות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hyperlink r:id="rId50">
        <w:r>
          <w:rPr>
            <w:rStyle w:val="Hyperlink"/>
            <w:rFonts w:ascii="David" w:hAnsi="David"/>
            <w:b/>
            <w:b/>
            <w:bCs/>
            <w:rtl w:val="true"/>
          </w:rPr>
          <w:t>סע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ט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)(</w:t>
        </w:r>
        <w:r>
          <w:rPr>
            <w:rStyle w:val="Hyperlink"/>
            <w:rFonts w:cs="David" w:ascii="David" w:hAnsi="David"/>
            <w:b/>
            <w:bCs/>
          </w:rPr>
          <w:t>4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] – </w:t>
      </w:r>
      <w:r>
        <w:rPr>
          <w:rFonts w:ascii="David" w:hAnsi="David"/>
          <w:rtl w:val="true"/>
        </w:rPr>
        <w:t>כתוצאה מהירי שביצעו הנאשם והאחר 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נפצע המתלונן קשה ונגרמו לו מספר פצעי ירי וחבלות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קרע בשלפוחית השתן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בעכוז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ושברים מרוסקים מרובים בגפיים התחתונות שבהן נותרו שלושה קליעים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הובהל לבית החולים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אושפז במחלקה לטיפול נמרץ ונותח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האכזריות והאלימות של הנאשם בנפגע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hyperlink r:id="rId51">
        <w:r>
          <w:rPr>
            <w:rStyle w:val="Hyperlink"/>
            <w:rFonts w:ascii="David" w:hAnsi="David"/>
            <w:b/>
            <w:b/>
            <w:bCs/>
            <w:rtl w:val="true"/>
          </w:rPr>
          <w:t>סע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ט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)(</w:t>
        </w:r>
        <w:r>
          <w:rPr>
            <w:rStyle w:val="Hyperlink"/>
            <w:rFonts w:cs="David" w:ascii="David" w:hAnsi="David"/>
            <w:b/>
            <w:bCs/>
          </w:rPr>
          <w:t>10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] –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כדי 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שלפו הנאשם או האחר את האקדח שנשאו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דעת הנאשם והאחר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ירו מספר יריות לעבר פלג גופו התחתון של המתלונן ופגעו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 לגרום לו לנכות או 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לגרום לו 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נפצע קשה ונגרמו לו מספר פצעי ירי וחבלות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 נותרו בגפיו התחתונות שלושה קליעים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  <w:highlight w:val="yellow"/>
        </w:rPr>
      </w:pPr>
      <w:r>
        <w:rPr>
          <w:rFonts w:cs="David" w:ascii="David" w:hAnsi="David"/>
          <w:color w:val="FF0000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מדיניות הענישה הנהוגה – בהתייחס לעבירות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להלן תפורט פסיקה שממנה ניתן להקיש למידת הענישה בתיק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תוך השוואה ואבחנה הן לנסיבות העבירות שביצע הנאשם והן לנסיבות של הנאשם עצמו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מתוך כל פסק דין יובאו להלן כמה מהנסיבות העיקריות שבו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שמהן ניתן להשוות ולאבחן את מידת הענישה בתיק זה</w:t>
      </w:r>
      <w:r>
        <w:rPr>
          <w:rFonts w:cs="David" w:ascii="David" w:hAnsi="David"/>
          <w:rtl w:val="true"/>
        </w:rPr>
        <w:t>):</w:t>
      </w:r>
    </w:p>
    <w:p>
      <w:pPr>
        <w:pStyle w:val="ListParagraph"/>
        <w:numPr>
          <w:ilvl w:val="0"/>
          <w:numId w:val="2"/>
        </w:numPr>
        <w:spacing w:lineRule="auto" w:line="360"/>
        <w:ind w:hanging="426" w:start="423" w:end="0"/>
        <w:jc w:val="both"/>
        <w:rPr>
          <w:rFonts w:ascii="David" w:hAnsi="David" w:cs="David"/>
        </w:rPr>
      </w:pP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3332/22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קוואסמי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1.12.22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נגזרו על המערער סברי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וחצי 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 אחים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הורשעו על פי הודאתם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המערער סאבר הורשע בעבירות של חבלה חמורה בנסיבות מחמירות בצוותא וניסיון לתקיפה סתם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והמערער סברי הורשע בעבירות של חבלה בכוונה מחמירה ונשיאת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אף הורשעו בנוסף בעבירה של פציעה בצוותא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סאבר נגזרו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התגלע סכסוך בין משפחתם של המערערים לבין משפחתם של מתלונן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ומתלונן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3.8.2020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אחר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הצהריים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המערערים הגיעו לביתם של המתלוננים בוואדי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וז בירושלים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ברכב עם לוחיות זיהוי מטושטשות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בהגיעם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 השניים מן הרכב כשבידו של סאבר מוט ברזל ובידו של סברי אקדח טעון במחסנית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סאבר ניסה להכות את המתלונן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בראשו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אחד הנוכחים במקום מנע זאת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סברי דרך את האקדח שבידו וירה מספר יריות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ובתגובה לכך החלו להימלט מהמקום חלק מהנוכחים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המתלוננים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סברי רדף אחרי המתלונן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 לעברו שתי 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שפגעו בירכיו העליונות וגרמו לו ליפול ארצה בעודו מדמם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סברי נמלט מהמקום תוך שהוא יורה שוב מספר יריות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בריחתו נתקל במתלונן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והכה אותו ברגלו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סאבר נכנס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לכיוון סברי ומילטו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 המערערים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המתלונן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פונה לבית החולים כשהוא מחוסר הכרה וסובל מפגיעה ורידית ועצבית ברגלו 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למתלונן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נגרמה המטומה קלה ונפיחות בשוק רגלו הימנית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בגזר הדין צויין כי יש לתת להסכם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סולחה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משקל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שאינו גבוה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צוינו הרשעותיהם הקודמות של המערערים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ובפרט אלו של סברי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ריצה בגינן עונש של </w:t>
      </w:r>
      <w:r>
        <w:rPr>
          <w:rFonts w:cs="David" w:ascii="David" w:hAnsi="David"/>
        </w:rPr>
        <w:t>43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ובמצטבר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426" w:start="423" w:end="0"/>
        <w:jc w:val="both"/>
        <w:rPr>
          <w:rFonts w:ascii="David" w:hAnsi="David" w:cs="David"/>
        </w:rPr>
      </w:pP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687/22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טלוי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19.5.22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בית המשפט המחוזי גזר על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 המשפט העליון החמיר את עונשו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תוך שהזכיר את הכלל כי ערכאת הערעור אינה ממצה את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חבלה בכוונה מחמירה ועבירה של שינוי זהות של 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צעיר 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מאקדחו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מטווח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בראשו של קורבן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שענה לשם קובי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לקובי נגרם נזק מוחי מאסיבי והוא מאושפז במוסד רפואי בהיותו מונשם וחסר הכרה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הרקע לאירוע זה הוא </w:t>
      </w:r>
      <w:r>
        <w:rPr>
          <w:rFonts w:cs="David" w:ascii="David" w:hAnsi="David"/>
        </w:rPr>
        <w:t>1000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שקטין בשם א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קרוב משפחתה של בת זוגו של קובי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 לחברו של יריב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העונה לשם מיכאל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חוב זה מיכאל רב עם א</w:t>
      </w:r>
      <w:r>
        <w:rPr>
          <w:rFonts w:cs="David" w:ascii="David" w:hAnsi="David"/>
          <w:rtl w:val="true"/>
        </w:rPr>
        <w:t xml:space="preserve">'; </w:t>
      </w:r>
      <w:r>
        <w:rPr>
          <w:rFonts w:ascii="David" w:hAnsi="David"/>
          <w:rtl w:val="true"/>
        </w:rPr>
        <w:t>השניים החליפו מהלומות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ובעקבותיהן שלח מיכאל לא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הודעת טקסט מאיימת בזו הלשון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חכה חכה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מחכה לך מתנה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סיפר לקובי על אודות הסכסוך ומסר לקובי את מספר הטלפון של מיכאל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קובי ומיכאל שוחחו בטלפון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שיחתם לא כיבתה את להבות הסכסוך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בערב של אותו יום הגיע יריב לקרבת בית חברו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מיכאל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רכוב על קטנועו ונושא עמו אקדח טעון במחסנית מלאת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קיבל לידיו במסגרת עבודתו כמאבטח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מיכאל עלה על מושב הנוסע בקטנוע כשבידו אלת עץ וגרזן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בחלוף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 פגשו השניים בצומת רחובות את קובי שנהג במכוניתו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יריב עצר את הקטנוע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קובי עצר את מכוניתו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שלו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מיכאל ויריב ירדו מהקטנוע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התקרבו אל מכוניתו של קובי ואחד מהם ניפץ באמצעות האלה את שמשת דלת הנהג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קובי התיז גז מדמיע ממיכל שהיה ברשותו לעברו של יריב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יריב כיוון את אקדחו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טעון ודרוך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לעבר ראשו של קובי וירה בראשו של קובי ירייה אחת מטווח קצר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ירייה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הותירה את קובי במצב של צמח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מחוסר הכרה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יכולת לתקשר עם הסובבים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ומרחף בין חיים למוות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ציין כי ביחס לכל הנסיבות העמומות של האירוע יש להניח הנחות שמיטיבות עם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מן הדין לצאת מן ההנחה כי כוונת המערער לירות מאקדחו בראשו של קובי היתה ספונטאנית והתגבשה תוך כדי האירוע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שקובי התיז לעברו גז מדמיע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ללא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ציין כי אין חולק כי העבירה שבה עסקינן בוצעה בנסיבות חמורות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ותוצאותיה היו הרסניות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426" w:start="423" w:end="0"/>
        <w:jc w:val="both"/>
        <w:rPr>
          <w:rFonts w:ascii="David" w:hAnsi="David" w:cs="David"/>
        </w:rPr>
      </w:pP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7473/20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מחאמיד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29.6.21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בית המשפט המחוזי גזר על המערער </w:t>
      </w:r>
      <w:r>
        <w:rPr>
          <w:rFonts w:cs="David" w:ascii="David" w:hAnsi="David"/>
        </w:rPr>
        <w:t>6.5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 המשפט העליון החמיר את עונשו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לכלל לפיו אין ערכאת הערעור ממצה את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 שלא כדין וירי מנשק חם באזור מגורים באופן שיש בו כדי לסכן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בין המתלונן הקטין לאחיו של המערער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התגלע סכסוך בנוגע לסכום כסף בסך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הסכסוך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התפתח עימות פיזי בין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במהלכו נחבל המתלונן באצבעו ולע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נגרמה שריטה באף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16.11.2018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למתלונן וביקש להיפגש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באמתלת שווא לפיה ברצונו ליישב את הסכסוך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הגיע למפגש יחד עם בן דודו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הגיע אף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מלווה במערער ושני חברים נוספים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החברים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המערער הגיע למקום כשהוא נושא אקדח 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נשא גז פלפל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המערער למתלונן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מה יש לך נגד אח שלי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/>
          <w:rtl w:val="true"/>
        </w:rPr>
        <w:t>אם אתה גבר לך איתו ראש בראש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המתלונן וע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התרחקו הצידה והחלו לדבר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השיחה התיז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גז פלפל על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וזה החל לברוח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הפיל אותו על הארץ והחל לבעוט בו ולהכותו באמצעות ידיו על פניו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 ניגש לעזור 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המתלונן שרוע על הרצפה ומ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 רוכן לידו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 המערער אל המתלונן ואל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באקדח מספר יריות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המערער את האקדח לעבר ראשו של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הבחין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ואמר למ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תיזהר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המערער את האקדח לצווארו של המתלונן וירה בו ירייה אחת מטווח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פגעה בצווארו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ירה המערער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ונמלט מן המקום יחד עם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והחברים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המתלונן מוטל על הרצפה שותת 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חדר כדור לצווארו של המתלונן ויצא מהחזה האחורי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אושפז כשהוא מורדם ומונשם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מהירי נגרמו לו נזקים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פצעי ירי בצוואר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בריאה ובבית החזה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נזק לשורשי שתי חוליות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חולשה בידו והגבלת תנועה בכתף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ללא עבר פלילי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426" w:start="423" w:end="0"/>
        <w:jc w:val="both"/>
        <w:rPr>
          <w:rFonts w:ascii="David" w:hAnsi="David" w:cs="David"/>
        </w:rPr>
      </w:pP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9104/20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טבצ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ניקוב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4.3.21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בית המשפט המחוזי גזר על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בגין הרשעתו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והחזקת סם מסוכן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את עונשו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והפעיל עונש מאסר מותנה 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שסך הכל המשיב ירצה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הצטייד באקדח טעון בכדורים והגיע ברכבו לעסק שבו עבד המתלונן באותה 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בליווי אדם נוסף אשר נהג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חילופי דברים בינו לבין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שלף את אקדחו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הצמידוֹ לחלק העליון של ירכו השמאלית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ירייה אחת – ונמלט עם אקדחו מהמקום בנסיעה בליווי האדם הנוסף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נזקק המתלונן לניתוח ברגלו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במהלכו הוחלט להותיר את הקליע בגופו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פן תגרור הוצאתו פגיעה בכלי הדם ובמערכת העצבים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המשיב נתפס ובמהלך חיפוש על גופו נמצא סם מסוכן מסוג קוקאין במשקל של </w:t>
      </w:r>
      <w:r>
        <w:rPr>
          <w:rFonts w:cs="David" w:ascii="David" w:hAnsi="David"/>
        </w:rPr>
        <w:t>1.5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למשיב עבר פלילי בלתי מבוטל בעבירות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 וסמים והוא אף ריצה עונשי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426" w:start="423" w:end="0"/>
        <w:jc w:val="both"/>
        <w:rPr>
          <w:rFonts w:ascii="David" w:hAnsi="David" w:cs="David"/>
          <w:b/>
          <w:bCs/>
        </w:rPr>
      </w:pP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4344/18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גאבר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16.8.19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נגזרו על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המערער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בגרימת חבלה בכוונה מחמירה ובנשיאת נשק ותחמושת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בריב משפחתי שבמהלכו המערער נטל לידיו כלי 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ממנו ממרחק של מטרים ספורים לא פחות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 לכיוון אביו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אחיינו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רץ לעברו כדי למנוע פגיעה באביו ונכנס לטווח 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 המתלונן מקליע בשוק רגלו השמאלית ושבר את עצם השוק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נטל אחריות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חרטה על ביצועם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פרס בפני בית משפט קמא את נסיבות חייו הלא פשוטות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וציין כי הריב שבין משפחתו לבין משפחת המתלונן הסתיים בסולחה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למערער הרשעות קודמות בעבירות 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426" w:start="423" w:end="0"/>
        <w:jc w:val="both"/>
        <w:rPr>
          <w:rFonts w:ascii="David" w:hAnsi="David" w:cs="David"/>
          <w:b/>
          <w:bCs/>
        </w:rPr>
      </w:pP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5010/17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שטרית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20.6.19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נגזרו על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תשע שנות מאסר בפועל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ובעבירה של נשיאת נשק ללא רשות על פי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המערער לאדם בשם שימי מימרן שורר 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27.3.2016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 שימי והמערער בטלפון וקבעו להיפגש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שימי הגיע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נתנאל אלנקווה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אוראל בורסקה ובר שלוש לביתו של המערער בשכונת בית הכרם בירושלים בעת שהמערער שהה מחוץ לביתו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סמוך לאחר מכן הגיע המערער ברכב עם אדם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שזהותו אינה ידועה למשיבה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לשכונת בית הכרם והוא נושא אקדח בקוטר </w:t>
      </w:r>
      <w:r>
        <w:rPr>
          <w:rFonts w:cs="David" w:ascii="David" w:hAnsi="David"/>
        </w:rPr>
        <w:t>7.65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משראה המערער את שימי והאחרים ברחוב משה קול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מהרכב עם האקדח וירה לעבר מרכז גופם כמה יריות ממרחק מטרים בודדים מתוך כוונה להסב להם חבלות גופניות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קליע חדר לאזור הגב התחתון של אוראל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בתעלת עמוד השדרה בין שתי חוליות וחדר את הכליה והכבד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עקב כך נגרמו לאוראל שברים מרוסקים בעמוד השדרה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הקליע נותר בגופו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הפך בעל נכות מהמותן ומטה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מייד לאחר הירי ברח המערער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ניתק את מכשיר הטלפון הנייד שלו ונעדר מביתו למשך כמה ימים ביודעו כי המשטרה מחפשת אחריו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426" w:start="423" w:end="0"/>
        <w:jc w:val="both"/>
        <w:rPr>
          <w:rFonts w:ascii="David" w:hAnsi="David" w:cs="David"/>
        </w:rPr>
      </w:pP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3599/16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חטיב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14.11.17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נגזרו על </w:t>
      </w:r>
      <w:r>
        <w:rPr>
          <w:rFonts w:ascii="David" w:hAnsi="David"/>
          <w:b/>
          <w:b/>
          <w:bCs/>
          <w:rtl w:val="true"/>
        </w:rPr>
        <w:t xml:space="preserve">משיב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הופעל עונש מאסר על תנאי בן שנה באופן מצטבר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b/>
          <w:b/>
          <w:bCs/>
          <w:rtl w:val="true"/>
        </w:rPr>
        <w:t xml:space="preserve">משיב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הופעל עונש מאסר על תנאי בן שנה באופן מצטבר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המשיבים הורשעו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ושיבוש הליכי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למשיב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יוחסו גם עבירות תגרה ויריות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8.6.2014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התפתח ויכוח בין המשיב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אדם אחר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האחר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בישוב אעבלין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סביב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השימוש בכביש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בעקבות אותו ויכוח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פרצה תגרה בין המשיב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 האחר ותושבים נוספים שהתאספו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לאותה תגרה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ירה המשיב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 לילה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לא פחות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מרובה סער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אשר פגעו בקירות חיצוניים של כחמישה בתים וברכב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נעשו ניסיונות לערוך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סולחה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בין הניצים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בשל יידוי אבנים לעבר רכבו של המשיב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החליט הלה להיפרע מצעירים שנחשדו על ידו ביידוי האבנים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המשיב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פנה אל המשיבים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ותכנן עמם ועם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שזהותם אינה ידועה למאשימה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לגרום לחבלה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למום או לנכות לצעירים באמצעות ירי בנשק חם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המשיבים הצטיידו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לפחות באקדח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וביום </w:t>
      </w:r>
      <w:r>
        <w:rPr>
          <w:rFonts w:cs="David" w:ascii="David" w:hAnsi="David"/>
        </w:rPr>
        <w:t>11.6.2014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הורה המשיב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למשיבים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לירות לעבר שני רכבים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נסעו הצעירים ומשפחותיהם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המשיב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ואחרים תצפתו לעבר שני הרכבים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שעה שהמשיב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 הנחיות כיצד לבצע את 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כנטען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המשיב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ואחרים עקבו אחר רכביהם של הצעירים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ובשלב מסוים החלו לירות מאקדח שהיה ברשותם לעבר אחד הרכבים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חמישה כדורים לפחות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וגרמו לפגיעה קשה לשלושה מנוסעיו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פונו לבית החולים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שנשקפה סכנה לחייהם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הורה המשיב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לחבריו לעשות פעולות שונות לשם שיבוש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מחיקת נתונים מהטלפון הנייד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תאום גרסאות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וניקוי הרכב שממנו בוצע הירי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426" w:start="423" w:end="0"/>
        <w:jc w:val="both"/>
        <w:rPr>
          <w:rFonts w:ascii="David" w:hAnsi="David" w:cs="David"/>
        </w:rPr>
      </w:pP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1186/15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יונס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23.11.16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בית המשפט המחוזי גזר על המערער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ובית המשפט העליון הפחית את עונשו </w:t>
      </w:r>
      <w:r>
        <w:rPr>
          <w:rFonts w:ascii="David" w:hAnsi="David"/>
          <w:b/>
          <w:b/>
          <w:bCs/>
          <w:rtl w:val="true"/>
        </w:rPr>
        <w:t>לתשע שנים וארבעה 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הליך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חבלה בכוונה 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הפרשה בתמצית עניינה כי בשל עדות עתידה של המתלונן בהליך פלילי נגד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האחרון לבית המתלונן נושא נשק טעון ודרוך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בעודו עטוי כפפות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דפק בדלת והתחזה כאחי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ומשהתלונן פתח ירה לעברו לפחות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 כדי לפגוע בו בפלג גופו התחתון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ונגרמו לו חבלות קשות ברגליים וביד והוא אושפז ונותח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עשה את מעשיו בהיותו במעצר בית מלא בצו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העונש שנגזר על המערער נמנה במצטבר למאסר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 בעבירת שוד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בקבלו את הערעור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העליון ציין כי נוכח הגיוון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דומה שגזר הדין נוטה לחומרה ומצוי ברף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גם שהעונשים בשתי הפרשות נצברים זה לזה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הובא בחשבון שהנאשם חזר בו מהערעור על 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שילם את הפיצוי שהוטל עליו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426" w:start="423" w:end="0"/>
        <w:jc w:val="both"/>
        <w:rPr>
          <w:rFonts w:ascii="David" w:hAnsi="David" w:cs="David"/>
        </w:rPr>
      </w:pP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5015/15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29.3.16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בית המשפט המחוזי גזר על המערער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 המשפט העליון החמיר את עונשו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וחצי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לכך שערכאת הערעור אינה נוהגת למצות את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חבלה בכוונה מחמירה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 עבירות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נשיאת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והחזקת 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עסק בעבודות ריצוף בבית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הגיע לבית כשהוא נושא עמו תת מקלע מסוג קרל גוסטב שהיה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 אל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לעברו לפחות שלוש יריות ממרחק קרוב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פוגע בידו הימנית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רץ מספר מטרים בניסיון להימלט מהמשיב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הלה רדף אחריו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הפילו ארצה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והיכה בחוזקה בראשו באמצעות הנשק שאחז 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הובהל לבית החולים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אובחן כסובל משבר בבסיס הגולגולת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פצע קרוע בקרקפת מימין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ושבר מרוסק בזרוע שמאל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עברו הפלילי של המשיב כולל הרשעה יחידה בגין ביצוע עבודות בנייה ללא היתר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426" w:start="423" w:end="0"/>
        <w:jc w:val="both"/>
        <w:rPr>
          <w:rFonts w:ascii="David" w:hAnsi="David" w:cs="David"/>
        </w:rPr>
      </w:pP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843/15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מזרחי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30.11.15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נגזרו על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עשר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צבירה של שנה וחצי של מאסר מותנה מתיק קודם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בערעור החליט לחפוף 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לעודד את המערער לשיקום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לאחר משפט הוכחות בעבירות חבלה בכוונה מחמירה ועבירות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בסכסוך של פחות ממה בכך עם פקיד קבלה במלון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שלא נתן לו הנחה של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המערער עזב את 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כשאקדח בידו תוך כיסוי ראשו בכובע מעיל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במתלונן מטווח קצר ברגלו ובבטנו וגרם לו נכות צמיתה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למערער עבר פלילי והוא מגיל חמש עשרה החל בעבריינות ונדון על חבלה ותקיפה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עמד פעמיים נוספות בפני בתי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ונדון באחת מהן למאסר</w:t>
      </w:r>
      <w:r>
        <w:rPr>
          <w:rFonts w:cs="David" w:ascii="David" w:hAnsi="David"/>
          <w:rtl w:val="true"/>
        </w:rPr>
        <w:t>.</w:t>
      </w:r>
    </w:p>
    <w:p>
      <w:pPr>
        <w:pStyle w:val="Ruller42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b/>
          <w:b/>
          <w:bCs/>
          <w:u w:val="single"/>
          <w:rtl w:val="true"/>
        </w:rPr>
        <w:t>על כן</w:t>
      </w:r>
      <w:r>
        <w:rPr>
          <w:rFonts w:cs="David" w:ascii="David" w:hAnsi="David"/>
          <w:u w:val="single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לאור המידע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רכיבי מתחם העונש ההולם והשיקולים 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העבירות בה</w:t>
      </w:r>
      <w:r>
        <w:rPr>
          <w:rFonts w:ascii="David" w:hAnsi="David" w:cs="David"/>
          <w:rtl w:val="true"/>
        </w:rPr>
        <w:t>ן</w:t>
      </w:r>
      <w:r>
        <w:rPr>
          <w:rFonts w:ascii="David" w:hAnsi="David" w:cs="David"/>
          <w:rtl w:val="true"/>
        </w:rPr>
        <w:t xml:space="preserve">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מעשיו של הנאשם המתוארים בכתב האישום המתוקן בנסיבות הקונקרטיות של 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ובהתחשב במדיניות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מתחם העונש ההולם הינו אפוא </w:t>
      </w:r>
      <w:r>
        <w:rPr>
          <w:rFonts w:ascii="David" w:hAnsi="David" w:cs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7-11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ruller40"/>
        <w:bidi w:val="1"/>
        <w:spacing w:lineRule="auto" w:line="360" w:before="0" w:after="0"/>
        <w:ind w:end="0"/>
        <w:jc w:val="both"/>
        <w:rPr/>
      </w:pPr>
      <w:r>
        <w:rPr>
          <w:rFonts w:ascii="David" w:hAnsi="David" w:cs="David"/>
          <w:b/>
          <w:b/>
          <w:bCs/>
          <w:u w:val="single"/>
          <w:rtl w:val="true"/>
        </w:rPr>
        <w:t>נסיבות שאינן קשורות בביצוע העבירות</w:t>
      </w:r>
      <w:r>
        <w:rPr>
          <w:rFonts w:ascii="David" w:hAnsi="David" w:cs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[</w:t>
      </w:r>
      <w:hyperlink r:id="rId62">
        <w:r>
          <w:rPr>
            <w:rStyle w:val="Hyperlink"/>
            <w:rFonts w:ascii="David" w:hAnsi="David" w:cs="David"/>
            <w:b/>
            <w:b/>
            <w:bCs/>
            <w:rtl w:val="true"/>
          </w:rPr>
          <w:t>סע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 w:cs="David"/>
            <w:b/>
            <w:b/>
            <w:bCs/>
            <w:rtl w:val="true"/>
          </w:rPr>
          <w:t>יא</w:t>
        </w:r>
      </w:hyperlink>
      <w:r>
        <w:rPr>
          <w:rFonts w:ascii="David" w:hAnsi="David" w:cs="David"/>
          <w:u w:val="single"/>
          <w:rtl w:val="true"/>
        </w:rPr>
        <w:t xml:space="preserve"> לחוק</w:t>
      </w:r>
      <w:r>
        <w:rPr>
          <w:rFonts w:cs="David" w:ascii="David" w:hAnsi="David"/>
          <w:u w:val="single"/>
          <w:rtl w:val="true"/>
        </w:rPr>
        <w:t>]: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ascii="David" w:hAnsi="David"/>
          <w:b/>
          <w:b/>
          <w:bCs/>
          <w:rtl w:val="true"/>
        </w:rPr>
        <w:t>הפגיעה של העונש 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hyperlink r:id="rId63">
        <w:r>
          <w:rPr>
            <w:rStyle w:val="Hyperlink"/>
            <w:rFonts w:ascii="David" w:hAnsi="David"/>
            <w:b/>
            <w:b/>
            <w:bCs/>
            <w:rtl w:val="true"/>
          </w:rPr>
          <w:t>סע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יא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cs="David" w:ascii="David" w:hAnsi="David"/>
            <w:b/>
            <w:bCs/>
          </w:rPr>
          <w:t>1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] – </w:t>
      </w:r>
      <w:r>
        <w:rPr>
          <w:rFonts w:ascii="David" w:hAnsi="David"/>
          <w:rtl w:val="true"/>
        </w:rPr>
        <w:t xml:space="preserve">הנאשם הינו כבן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ומכאן שעצם הענישה בעניינו תהווה פגיעה בחירותו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ascii="David" w:hAnsi="David"/>
          <w:b/>
          <w:b/>
          <w:bCs/>
          <w:rtl w:val="true"/>
        </w:rPr>
        <w:t>נטילת האחריות של הנאשם על מעשיו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וחזרתו למוטב או מאמציו לחזור למוטב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hyperlink r:id="rId64">
        <w:r>
          <w:rPr>
            <w:rStyle w:val="Hyperlink"/>
            <w:rFonts w:ascii="David" w:hAnsi="David"/>
            <w:b/>
            <w:b/>
            <w:bCs/>
            <w:rtl w:val="true"/>
          </w:rPr>
          <w:t>סע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יא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cs="David" w:ascii="David" w:hAnsi="David"/>
            <w:b/>
            <w:bCs/>
          </w:rPr>
          <w:t>4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] - </w:t>
      </w:r>
      <w:r>
        <w:rPr>
          <w:rFonts w:ascii="David" w:hAnsi="David"/>
          <w:rtl w:val="true"/>
        </w:rPr>
        <w:t>הנאשם הודה במעשיו והורשע במסגרת הסדר טיעון ובכך חסך את העדת המתלונן ועדים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חסך זמן שיפוטי יקר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עברו הפלילי של הנאשם </w:t>
      </w:r>
      <w:r>
        <w:rPr>
          <w:rFonts w:cs="David" w:ascii="David" w:hAnsi="David"/>
          <w:rtl w:val="true"/>
        </w:rPr>
        <w:t>[</w:t>
      </w:r>
      <w:hyperlink r:id="rId65">
        <w:r>
          <w:rPr>
            <w:rStyle w:val="Hyperlink"/>
            <w:rFonts w:ascii="David" w:hAnsi="David"/>
            <w:b/>
            <w:b/>
            <w:bCs/>
            <w:rtl w:val="true"/>
          </w:rPr>
          <w:t>סע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יא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cs="David" w:ascii="David" w:hAnsi="David"/>
            <w:b/>
            <w:bCs/>
          </w:rPr>
          <w:t>11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– </w:t>
      </w:r>
      <w:r>
        <w:rPr>
          <w:rFonts w:ascii="David" w:hAnsi="David"/>
          <w:rtl w:val="true"/>
        </w:rPr>
        <w:t xml:space="preserve">גיליון המרשם הפלילי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פורט בהרחבה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אחזור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ונשקול את האמור </w:t>
      </w:r>
      <w:r>
        <w:rPr>
          <w:rFonts w:ascii="David" w:hAnsi="David"/>
          <w:rtl w:val="true"/>
        </w:rPr>
        <w:t xml:space="preserve">בו </w:t>
      </w:r>
      <w:r>
        <w:rPr>
          <w:rFonts w:ascii="David" w:hAnsi="David"/>
          <w:rtl w:val="true"/>
        </w:rPr>
        <w:t>בשיקלול הענישה בגזר 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עברו הפלילי הכולל יחסית אינו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רשומות לחובתו בעברו עבירות אלימות מסוג פשע ולא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והוטלו עליו בעבר שני עונשי מאסר בפועל שאינם ארוכים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הרתעה</w:t>
      </w:r>
      <w:r>
        <w:rPr>
          <w:rFonts w:cs="David" w:ascii="David" w:hAnsi="David"/>
          <w:u w:val="single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הענישה שתוטל על הנאשם מגלמת הן את הצורך בהרתעתו מפני ביצוע עבירה נוספת בעתיד </w:t>
      </w:r>
      <w:r>
        <w:rPr>
          <w:rFonts w:cs="David" w:ascii="David" w:hAnsi="David"/>
          <w:rtl w:val="true"/>
        </w:rPr>
        <w:t>[</w:t>
      </w:r>
      <w:hyperlink r:id="rId66">
        <w:r>
          <w:rPr>
            <w:rStyle w:val="Hyperlink"/>
            <w:rFonts w:ascii="David" w:hAnsi="David"/>
            <w:b/>
            <w:b/>
            <w:bCs/>
            <w:rtl w:val="true"/>
          </w:rPr>
          <w:t>סע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ו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והן את הצורך בהרתעת הרבים מפני ביצוע עבירות מהסוג שביצע הנאשם </w:t>
      </w:r>
      <w:r>
        <w:rPr>
          <w:rFonts w:cs="David" w:ascii="David" w:hAnsi="David"/>
          <w:rtl w:val="true"/>
        </w:rPr>
        <w:t>[</w:t>
      </w:r>
      <w:hyperlink r:id="rId67">
        <w:r>
          <w:rPr>
            <w:rStyle w:val="Hyperlink"/>
            <w:rFonts w:ascii="David" w:hAnsi="David"/>
            <w:b/>
            <w:b/>
            <w:bCs/>
            <w:rtl w:val="true"/>
          </w:rPr>
          <w:t>סע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ז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]. </w:t>
      </w:r>
      <w:r>
        <w:rPr>
          <w:rFonts w:ascii="David" w:hAnsi="David"/>
          <w:rtl w:val="true"/>
        </w:rPr>
        <w:t>יפים לעניין זה דבריו של בית המשפט העליון</w:t>
      </w:r>
      <w:r>
        <w:rPr>
          <w:rFonts w:cs="David" w:ascii="David" w:hAnsi="David"/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281" w:end="284"/>
        <w:jc w:val="both"/>
        <w:rPr/>
      </w:pPr>
      <w:r>
        <w:rPr>
          <w:rFonts w:cs="David" w:ascii="David" w:hAnsi="David"/>
          <w:b/>
          <w:bCs/>
          <w:spacing w:val="0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בית משפט זה עמד לא אחת על הצורך במיגורן הנחרץ של עבירות הכוללות שימוש בנשק חם ליישוב סכסוכים</w:t>
      </w:r>
      <w:r>
        <w:rPr>
          <w:rFonts w:cs="David" w:ascii="David" w:hAnsi="David"/>
          <w:b/>
          <w:bCs/>
          <w:spacing w:val="0"/>
          <w:szCs w:val="24"/>
          <w:rtl w:val="true"/>
        </w:rPr>
        <w:t>...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 xml:space="preserve">על עבירות אלה נקבע כי הן </w:t>
      </w:r>
      <w:r>
        <w:rPr>
          <w:rFonts w:cs="David" w:ascii="David" w:hAnsi="David"/>
          <w:b/>
          <w:bCs/>
          <w:spacing w:val="0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מכת מדינה</w:t>
      </w:r>
      <w:r>
        <w:rPr>
          <w:rFonts w:cs="David" w:ascii="David" w:hAnsi="David"/>
          <w:b/>
          <w:bCs/>
          <w:spacing w:val="0"/>
          <w:szCs w:val="24"/>
          <w:rtl w:val="true"/>
        </w:rPr>
        <w:t>"...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 xml:space="preserve">וכי יש לנקוט במדיניות ענישה מחמירה בעניינו של </w:t>
      </w:r>
      <w:r>
        <w:rPr>
          <w:rFonts w:cs="David" w:ascii="David" w:hAnsi="David"/>
          <w:b/>
          <w:bCs/>
          <w:spacing w:val="0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מי שעושה שימוש בלתי חוקי בנשק התקפי</w:t>
      </w:r>
      <w:r>
        <w:rPr>
          <w:rFonts w:cs="David" w:ascii="David" w:hAnsi="David"/>
          <w:b/>
          <w:bCs/>
          <w:spacing w:val="0"/>
          <w:szCs w:val="24"/>
          <w:rtl w:val="true"/>
        </w:rPr>
        <w:t>"</w:t>
      </w:r>
      <w:r>
        <w:rPr>
          <w:rFonts w:cs="David" w:ascii="David" w:hAnsi="David"/>
          <w:spacing w:val="0"/>
          <w:szCs w:val="24"/>
          <w:rtl w:val="true"/>
        </w:rPr>
        <w:t xml:space="preserve"> (</w:t>
      </w:r>
      <w:hyperlink r:id="rId68">
        <w:r>
          <w:rPr>
            <w:rStyle w:val="Hyperlink"/>
            <w:rFonts w:ascii="David" w:hAnsi="David" w:cs="David"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0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0"/>
            <w:szCs w:val="24"/>
            <w:u w:val="single"/>
          </w:rPr>
          <w:t>3332/22</w:t>
        </w:r>
      </w:hyperlink>
      <w:r>
        <w:rPr>
          <w:rFonts w:cs="David" w:ascii="David" w:hAnsi="David"/>
          <w:spacing w:val="0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קוואסמי</w:t>
      </w:r>
      <w:r>
        <w:rPr>
          <w:rFonts w:cs="David" w:ascii="David" w:hAnsi="David"/>
          <w:spacing w:val="0"/>
          <w:szCs w:val="24"/>
          <w:rtl w:val="true"/>
        </w:rPr>
        <w:t>, [</w:t>
      </w:r>
      <w:r>
        <w:rPr>
          <w:rFonts w:ascii="David" w:hAnsi="David" w:cs="David"/>
          <w:spacing w:val="0"/>
          <w:szCs w:val="24"/>
          <w:rtl w:val="true"/>
        </w:rPr>
        <w:t>נבו</w:t>
      </w:r>
      <w:r>
        <w:rPr>
          <w:rFonts w:cs="David" w:ascii="David" w:hAnsi="David"/>
          <w:spacing w:val="0"/>
          <w:szCs w:val="24"/>
          <w:rtl w:val="true"/>
        </w:rPr>
        <w:t>]</w:t>
      </w:r>
      <w:r>
        <w:rPr>
          <w:rFonts w:cs="David" w:ascii="David" w:hAnsi="David"/>
          <w:spacing w:val="0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Cs w:val="24"/>
          <w:rtl w:val="true"/>
        </w:rPr>
        <w:t xml:space="preserve">מיום </w:t>
      </w:r>
      <w:r>
        <w:rPr>
          <w:rFonts w:cs="David" w:ascii="David" w:hAnsi="David"/>
          <w:spacing w:val="0"/>
          <w:szCs w:val="24"/>
        </w:rPr>
        <w:t>1.12.22</w:t>
      </w:r>
      <w:r>
        <w:rPr>
          <w:rFonts w:cs="David" w:ascii="David" w:hAnsi="David"/>
          <w:spacing w:val="0"/>
          <w:szCs w:val="24"/>
          <w:rtl w:val="true"/>
        </w:rPr>
        <w:t xml:space="preserve">, </w:t>
      </w:r>
      <w:r>
        <w:rPr>
          <w:rFonts w:ascii="David" w:hAnsi="David" w:cs="David"/>
          <w:spacing w:val="0"/>
          <w:szCs w:val="24"/>
          <w:rtl w:val="true"/>
        </w:rPr>
        <w:t>בסע</w:t>
      </w:r>
      <w:r>
        <w:rPr>
          <w:rFonts w:cs="David" w:ascii="David" w:hAnsi="David"/>
          <w:spacing w:val="0"/>
          <w:szCs w:val="24"/>
          <w:rtl w:val="true"/>
        </w:rPr>
        <w:t xml:space="preserve">' </w:t>
      </w:r>
      <w:r>
        <w:rPr>
          <w:rFonts w:cs="David" w:ascii="David" w:hAnsi="David"/>
          <w:spacing w:val="0"/>
          <w:szCs w:val="24"/>
        </w:rPr>
        <w:t>16</w:t>
      </w:r>
      <w:r>
        <w:rPr>
          <w:rFonts w:cs="David" w:ascii="David" w:hAnsi="David"/>
          <w:spacing w:val="0"/>
          <w:szCs w:val="24"/>
          <w:rtl w:val="true"/>
        </w:rPr>
        <w:t xml:space="preserve"> </w:t>
      </w:r>
      <w:r>
        <w:rPr>
          <w:rFonts w:ascii="David" w:hAnsi="David" w:cs="David"/>
          <w:spacing w:val="0"/>
          <w:szCs w:val="24"/>
          <w:rtl w:val="true"/>
        </w:rPr>
        <w:t>לפסה</w:t>
      </w:r>
      <w:r>
        <w:rPr>
          <w:rFonts w:cs="David" w:ascii="David" w:hAnsi="David"/>
          <w:spacing w:val="0"/>
          <w:szCs w:val="24"/>
          <w:rtl w:val="true"/>
        </w:rPr>
        <w:t>"</w:t>
      </w:r>
      <w:r>
        <w:rPr>
          <w:rFonts w:ascii="David" w:hAnsi="David" w:cs="David"/>
          <w:spacing w:val="0"/>
          <w:szCs w:val="24"/>
          <w:rtl w:val="true"/>
        </w:rPr>
        <w:t>ד</w:t>
      </w:r>
      <w:r>
        <w:rPr>
          <w:rFonts w:cs="David" w:ascii="David" w:hAnsi="David"/>
          <w:spacing w:val="0"/>
          <w:szCs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0"/>
          <w:szCs w:val="24"/>
        </w:rPr>
      </w:pPr>
      <w:r>
        <w:rPr>
          <w:rFonts w:cs="David" w:ascii="David" w:hAnsi="David"/>
          <w:spacing w:val="0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השימוש הנפוץ בנשק חם ככלי ליישוב סכסוכים תוך נטילת החוק לידי מבצע העבירה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הסיכון הנשקף משימוש בנשק כלפי הציבור כולו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וקורבן העבירה בפרט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והמחירים החברתיים הרבים הנלווים למעשים אלו – בין היתר בשל הפגיעה בתחושת הביטחון הכרוכה בהם – מחייבים ענישה מוחשית ומרתיעה כלפי עבירות הכוללות שימוש בנשק חם כאמצעי ליישוב סכסוכים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במטרה לצמצם תופעה נפסדת זו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hyperlink r:id="rId6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9104/20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טבצ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ניקוב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4.3.21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בסע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אי חריגה ממתחם העונש ההולם</w:t>
      </w:r>
      <w:r>
        <w:rPr>
          <w:rFonts w:cs="David" w:ascii="David" w:hAnsi="David"/>
          <w:u w:val="single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 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מצאתי הצדקה לחרוג ממתחם העונש ההולם לחומרא </w:t>
      </w:r>
      <w:r>
        <w:rPr>
          <w:rFonts w:cs="David" w:ascii="David" w:hAnsi="David"/>
          <w:rtl w:val="true"/>
        </w:rPr>
        <w:t>[</w:t>
      </w:r>
      <w:hyperlink r:id="rId70">
        <w:r>
          <w:rPr>
            <w:rStyle w:val="Hyperlink"/>
            <w:rFonts w:ascii="David" w:hAnsi="David"/>
            <w:rtl w:val="true"/>
          </w:rPr>
          <w:t>סע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ה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או לקולא </w:t>
      </w:r>
      <w:r>
        <w:rPr>
          <w:rFonts w:cs="David" w:ascii="David" w:hAnsi="David"/>
          <w:rtl w:val="true"/>
        </w:rPr>
        <w:t>[</w:t>
      </w:r>
      <w:hyperlink r:id="rId71">
        <w:r>
          <w:rPr>
            <w:rStyle w:val="Hyperlink"/>
            <w:rFonts w:ascii="David" w:hAnsi="David"/>
            <w:rtl w:val="true"/>
          </w:rPr>
          <w:t>סע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ד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ascii="David" w:hAnsi="David"/>
          <w:b/>
          <w:b/>
          <w:bCs/>
          <w:u w:val="single"/>
          <w:rtl w:val="true"/>
        </w:rPr>
        <w:t>על כן</w:t>
      </w:r>
      <w:r>
        <w:rPr>
          <w:rFonts w:cs="David" w:ascii="David" w:hAnsi="David"/>
          <w:u w:val="single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 כל האמור והמפורט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– </w:t>
      </w:r>
      <w:r>
        <w:rPr>
          <w:rFonts w:ascii="David" w:hAnsi="David"/>
          <w:b/>
          <w:b/>
          <w:bCs/>
          <w:rtl w:val="true"/>
        </w:rPr>
        <w:t>הטעמים לחומרא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העובדות שבכתב האישום המתוקן שבהן הודה הנאשם והעבירות שבהן הורשע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color w:val="FF0000"/>
          <w:rtl w:val="true"/>
        </w:rPr>
        <w:t xml:space="preserve"> </w:t>
      </w:r>
      <w:r>
        <w:rPr>
          <w:rFonts w:ascii="David" w:hAnsi="David"/>
          <w:rtl w:val="true"/>
        </w:rPr>
        <w:t>הערכים החברתיים שנפגעו מביצוע העבירות שביצע הנאשם והפגיעה הקשה בערכים אלה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הנסיבות הקשורות בביצוע העבירות כפי שפורטו לעיל</w:t>
      </w:r>
      <w:r>
        <w:rPr>
          <w:rFonts w:ascii="David" w:hAnsi="David"/>
          <w:rtl w:val="true"/>
        </w:rPr>
        <w:t xml:space="preserve"> לרבות פצעי הירי והחבלות החמורות שנגרמו למתלונן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הורשע בכמה 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העובדה כי העבירות בוצעו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</w:t>
      </w:r>
      <w:r>
        <w:rPr>
          <w:rFonts w:ascii="David" w:hAnsi="David"/>
          <w:rtl w:val="true"/>
        </w:rPr>
        <w:t>הנוכחים במגרש הכדורגל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נסו על נפשם וחיפשו מקום מסתור מהירי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החשיבות שבהרתעת הרבים מביצוע מעשים דומים לרבות הרתעת הנאשם מביצוע עבירות דומות בעתיד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הטעמים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נטילת האחריות של הנאשם על מעשיו – שהודה בעובדות כתב האישום המתוקן במסגרת הסדר טיעון וחסך את </w:t>
      </w:r>
      <w:r>
        <w:rPr>
          <w:rFonts w:ascii="David" w:hAnsi="David"/>
          <w:rtl w:val="true"/>
        </w:rPr>
        <w:t xml:space="preserve">ניהול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בשמיעת ראיות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או האחר ירו במתלונן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נסיבותיו האישיות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היות הנאשם נתון במעצר בבית מעצר מזה כמעט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עברו הפלילי של הנאשם יחסית אינו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השיקולים להם טענו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בטיעוניהם לעונש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מדיניות הענישה במקרים דומים כפי שפורטו לעיל תוך השוואה והאבחנה לעבירות שביצע הנאשם בתיק זה בנסיבות ביצוען– לאור כל אלה </w:t>
      </w:r>
      <w:r>
        <w:rPr>
          <w:rFonts w:ascii="David" w:hAnsi="David"/>
          <w:b/>
          <w:b/>
          <w:bCs/>
          <w:rtl w:val="true"/>
        </w:rPr>
        <w:t>אציע לחברותיי להטיל על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אחמד אלעביד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425" w:start="595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שמונה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שיימנו מיום מעצרו – </w:t>
      </w:r>
      <w:r>
        <w:rPr>
          <w:rFonts w:cs="David" w:ascii="David" w:hAnsi="David"/>
          <w:b/>
          <w:bCs/>
        </w:rPr>
        <w:t>23.10.21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425" w:start="59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ממאסרו לא יעבור הנאשם עבירה של אלימות פיזית נגד הגוף מסוג פשע או עבירת נשק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והכל לרבות ניסיון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425" w:start="59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ממאסרו לא יעבור הנאשם עבירה של אלימות פיזית נגד הגוף מסוג עוון או עבירת נשק מסוג 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והכל לרבות ניסיון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425" w:start="59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ישלם למתלונן פיצוי בסך של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ListParagraph"/>
        <w:spacing w:lineRule="auto" w:line="360"/>
        <w:ind w:start="59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ישלם סכום זה על ידי הפקדתו בקופת בית המשפט עבור המתלונן ב –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רצופים ושווים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התשלום הראשון ישולם לא יאוחר מיום </w:t>
      </w:r>
      <w:r>
        <w:rPr>
          <w:rFonts w:cs="David" w:ascii="David" w:hAnsi="David"/>
        </w:rPr>
        <w:t>1.12.24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ושאר התשלומים יופקדו כאמור לא יאוחר מכל ראשון לחודש שלאחר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יופקד כל תשלום מסכום הפיצוי האמור במלואו ובמועדו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שמלוא סכום הפיצוי יעמוד לפירעון מיידי ויישא הפרשי הצמדה וריבית כחוק מהיום שבו אמור היה הנאשם לשלמו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למועד תשלומו המלא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tbl>
      <w:tblPr>
        <w:bidiVisual w:val="true"/>
        <w:tblW w:w="229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98"/>
      </w:tblGrid>
      <w:tr>
        <w:trPr>
          <w:trHeight w:val="384" w:hRule="atLeast"/>
        </w:trPr>
        <w:tc>
          <w:tcPr>
            <w:tcW w:w="229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/>
                <w:bCs/>
                <w:rtl w:val="true"/>
              </w:rPr>
              <w:t>השופט גלעד נויטל</w:t>
            </w:r>
            <w:r>
              <w:rPr>
                <w:rFonts w:cs="Calibri" w:ascii="Calibri" w:hAnsi="Calibri"/>
                <w:b/>
                <w:bCs/>
                <w:rtl w:val="true"/>
              </w:rPr>
              <w:t xml:space="preserve">, 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/>
                <w:bCs/>
                <w:rtl w:val="true"/>
              </w:rPr>
              <w:t>נשיא</w:t>
            </w:r>
            <w:r>
              <w:rPr>
                <w:rFonts w:cs="Calibri" w:ascii="Calibri" w:hAnsi="Calibri"/>
                <w:b/>
                <w:bCs/>
                <w:rtl w:val="true"/>
              </w:rPr>
              <w:t xml:space="preserve">, 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>אב</w:t>
            </w:r>
            <w:r>
              <w:rPr>
                <w:rFonts w:cs="Calibri" w:ascii="Calibri" w:hAnsi="Calibri"/>
                <w:b/>
                <w:bCs/>
                <w:rtl w:val="true"/>
              </w:rPr>
              <w:t>"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  <w:lang w:val="en-IL" w:eastAsia="en-IL"/>
        </w:rPr>
      </w:pPr>
      <w:r>
        <w:rPr>
          <w:b/>
          <w:bCs/>
          <w:sz w:val="28"/>
          <w:szCs w:val="28"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  <w:lang w:val="en-IL" w:eastAsia="en-IL"/>
        </w:rPr>
      </w:pPr>
      <w:r>
        <w:rPr>
          <w:b/>
          <w:bCs/>
          <w:sz w:val="28"/>
          <w:szCs w:val="28"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השופטת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חיימוביץ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252" w:before="0" w:after="160"/>
        <w:ind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tbl>
      <w:tblPr>
        <w:bidiVisual w:val="true"/>
        <w:tblW w:w="231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15"/>
      </w:tblGrid>
      <w:tr>
        <w:trPr/>
        <w:tc>
          <w:tcPr>
            <w:tcW w:w="231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  <w:sz w:val="20"/>
                <w:szCs w:val="20"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  <w:lang w:eastAsia="he-IL"/>
              </w:rPr>
            </w:r>
          </w:p>
        </w:tc>
      </w:tr>
      <w:tr>
        <w:trPr/>
        <w:tc>
          <w:tcPr>
            <w:tcW w:w="231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eastAsia="he-IL"/>
              </w:rPr>
              <w:t>טלי חיימוביץ</w:t>
            </w: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eastAsia="he-IL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השופטת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לימור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ביבי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251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2"/>
      </w:tblGrid>
      <w:tr>
        <w:trPr>
          <w:trHeight w:val="473" w:hRule="atLeast"/>
        </w:trPr>
        <w:tc>
          <w:tcPr>
            <w:tcW w:w="251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52" w:before="0" w:after="1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לימור ביבי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  <w:lang w:val="en-IL" w:eastAsia="en-IL"/>
        </w:rPr>
      </w:pPr>
      <w:r>
        <w:rPr>
          <w:b/>
          <w:bCs/>
          <w:sz w:val="28"/>
          <w:szCs w:val="28"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120" w:after="12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אנו מטילים אפוא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פה אחד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 הנאשם את העונשים כמפורט בחוות דעתו של האב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השופט גלעד נויטל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נשיא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התביעה תעביר למזכירות בית המשפט תוך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מהיום את פרטי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של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 העברת הפיצוי דלעיל אלי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הוסברה לנאשם זכותו לערער על פסק הדין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  </w:t>
      </w:r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IL" w:eastAsia="en-IL"/>
        </w:rPr>
      </w:pPr>
      <w:r>
        <w:rPr>
          <w:rFonts w:cs="Arial" w:ascii="Arial" w:hAnsi="Arial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IL" w:eastAsia="en-IL"/>
        </w:rPr>
      </w:pPr>
      <w:r>
        <w:rPr>
          <w:rFonts w:cs="Arial" w:ascii="Arial" w:hAnsi="Arial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816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37"/>
        <w:gridCol w:w="239"/>
        <w:gridCol w:w="2643"/>
        <w:gridCol w:w="239"/>
        <w:gridCol w:w="2509"/>
      </w:tblGrid>
      <w:tr>
        <w:trPr>
          <w:trHeight w:val="473" w:hRule="atLeast"/>
        </w:trPr>
        <w:tc>
          <w:tcPr>
            <w:tcW w:w="253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52" w:before="0" w:after="1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גלעד נויטל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 נשיא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spacing w:lineRule="auto" w:line="252" w:before="0" w:after="160"/>
              <w:ind w:end="0"/>
              <w:jc w:val="start"/>
              <w:rPr>
                <w:rFonts w:ascii="Calibri" w:hAnsi="Calibri" w:cs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  <w:rtl w:val="true"/>
              </w:rPr>
            </w:r>
          </w:p>
        </w:tc>
        <w:tc>
          <w:tcPr>
            <w:tcW w:w="264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52" w:before="0" w:after="1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טלי חיימוביץ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spacing w:lineRule="auto" w:line="252" w:before="0" w:after="160"/>
              <w:ind w:end="0"/>
              <w:jc w:val="start"/>
              <w:rPr>
                <w:rFonts w:ascii="Calibri" w:hAnsi="Calibri" w:cs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  <w:rtl w:val="true"/>
              </w:rPr>
            </w:r>
          </w:p>
        </w:tc>
        <w:tc>
          <w:tcPr>
            <w:tcW w:w="250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52" w:before="0" w:after="1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לימור ביבי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נויטל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3"/>
      <w:footerReference w:type="default" r:id="rId74"/>
      <w:type w:val="nextPage"/>
      <w:pgSz w:w="11906" w:h="16838"/>
      <w:pgMar w:left="1474" w:right="1474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17865-11-21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אלעביד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  <w:lang w:bidi="he-IL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color w:val="000000"/>
        <w:lang w:val="en-US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eastAsia="Times New Roman" w:cs="David"/>
      <w:lang w:bidi="he-I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b w:val="false"/>
      <w:bCs w:val="false"/>
      <w:color w:val="000000"/>
      <w:lang w:val="en-U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Style14">
    <w:name w:val="תואר תו"/>
    <w:qFormat/>
    <w:rPr>
      <w:b/>
      <w:bCs/>
      <w:szCs w:val="28"/>
      <w:u w:val="single"/>
      <w:shd w:fill="CCCCCC" w:val="clear"/>
    </w:rPr>
  </w:style>
  <w:style w:type="character" w:styleId="Ruller4">
    <w:name w:val="Ruller4 תו"/>
    <w:qFormat/>
    <w:rPr>
      <w:rFonts w:ascii="Arial TUR;Arial" w:hAnsi="Arial TUR;Arial" w:eastAsia="Times New Roman" w:cs="FrankRuehl"/>
      <w:spacing w:val="10"/>
      <w:szCs w:val="28"/>
    </w:rPr>
  </w:style>
  <w:style w:type="character" w:styleId="Ruller41">
    <w:name w:val="Ruller 4 ממוספר תו"/>
    <w:qFormat/>
    <w:rPr>
      <w:rFonts w:ascii="Garamond" w:hAnsi="Garamond" w:eastAsia="Times New Roman" w:cs="FrankRuehl"/>
      <w:spacing w:val="10"/>
      <w:sz w:val="24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Style15">
    <w:name w:val="תואר"/>
    <w:basedOn w:val="Normal"/>
    <w:qFormat/>
    <w:pPr>
      <w:shd w:fill="CCCCCC" w:val="clear"/>
      <w:spacing w:lineRule="auto" w:line="480"/>
      <w:ind w:hanging="1701" w:start="1701" w:end="0"/>
      <w:jc w:val="center"/>
    </w:pPr>
    <w:rPr>
      <w:rFonts w:ascii="Calibri" w:hAnsi="Calibri" w:eastAsia="Calibri" w:cs="Arial"/>
      <w:b/>
      <w:bCs/>
      <w:sz w:val="22"/>
      <w:szCs w:val="28"/>
      <w:u w:val="single"/>
    </w:rPr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a0">
    <w:name w:val="a0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f" TargetMode="External"/><Relationship Id="rId8" Type="http://schemas.openxmlformats.org/officeDocument/2006/relationships/hyperlink" Target="http://www.nevo.co.il/law/70301/40g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40i.a" TargetMode="External"/><Relationship Id="rId11" Type="http://schemas.openxmlformats.org/officeDocument/2006/relationships/hyperlink" Target="http://www.nevo.co.il/law/70301/40i.a.1" TargetMode="External"/><Relationship Id="rId12" Type="http://schemas.openxmlformats.org/officeDocument/2006/relationships/hyperlink" Target="http://www.nevo.co.il/law/70301/40i.a.10" TargetMode="External"/><Relationship Id="rId13" Type="http://schemas.openxmlformats.org/officeDocument/2006/relationships/hyperlink" Target="http://www.nevo.co.il/law/70301/40i.a.2" TargetMode="External"/><Relationship Id="rId14" Type="http://schemas.openxmlformats.org/officeDocument/2006/relationships/hyperlink" Target="http://www.nevo.co.il/law/70301/40i.a.3" TargetMode="External"/><Relationship Id="rId15" Type="http://schemas.openxmlformats.org/officeDocument/2006/relationships/hyperlink" Target="http://www.nevo.co.il/law/70301/40i.a.4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29" TargetMode="External"/><Relationship Id="rId18" Type="http://schemas.openxmlformats.org/officeDocument/2006/relationships/hyperlink" Target="http://www.nevo.co.il/law/70301/329.a.1" TargetMode="External"/><Relationship Id="rId19" Type="http://schemas.openxmlformats.org/officeDocument/2006/relationships/hyperlink" Target="http://www.nevo.co.il/law/70301/340a.b.1" TargetMode="External"/><Relationship Id="rId20" Type="http://schemas.openxmlformats.org/officeDocument/2006/relationships/hyperlink" Target="http://www.nevo.co.il/law/70301/40ja" TargetMode="External"/><Relationship Id="rId21" Type="http://schemas.openxmlformats.org/officeDocument/2006/relationships/hyperlink" Target="http://www.nevo.co.il/law/70301/40ja.1" TargetMode="External"/><Relationship Id="rId22" Type="http://schemas.openxmlformats.org/officeDocument/2006/relationships/hyperlink" Target="http://www.nevo.co.il/law/70301/40ja.11" TargetMode="External"/><Relationship Id="rId23" Type="http://schemas.openxmlformats.org/officeDocument/2006/relationships/hyperlink" Target="http://www.nevo.co.il/law/70301/40ja.4" TargetMode="External"/><Relationship Id="rId24" Type="http://schemas.openxmlformats.org/officeDocument/2006/relationships/hyperlink" Target="http://www.nevo.co.il/law/70301/40jc.a" TargetMode="External"/><Relationship Id="rId25" Type="http://schemas.openxmlformats.org/officeDocument/2006/relationships/hyperlink" Target="http://www.nevo.co.il/law/70301/329.a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340a.b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29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29.a.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/340a.b.1" TargetMode="External"/><Relationship Id="rId36" Type="http://schemas.openxmlformats.org/officeDocument/2006/relationships/hyperlink" Target="http://www.nevo.co.il/case/13093721" TargetMode="External"/><Relationship Id="rId37" Type="http://schemas.openxmlformats.org/officeDocument/2006/relationships/hyperlink" Target="http://www.nevo.co.il/case/27535026" TargetMode="External"/><Relationship Id="rId38" Type="http://schemas.openxmlformats.org/officeDocument/2006/relationships/hyperlink" Target="http://www.nevo.co.il/law/70301/40b" TargetMode="External"/><Relationship Id="rId39" Type="http://schemas.openxmlformats.org/officeDocument/2006/relationships/hyperlink" Target="http://www.nevo.co.il/law/70301/40c" TargetMode="External"/><Relationship Id="rId40" Type="http://schemas.openxmlformats.org/officeDocument/2006/relationships/hyperlink" Target="http://www.nevo.co.il/law/70301/40i" TargetMode="External"/><Relationship Id="rId41" Type="http://schemas.openxmlformats.org/officeDocument/2006/relationships/hyperlink" Target="http://www.nevo.co.il/law/70301/40jc.a" TargetMode="External"/><Relationship Id="rId42" Type="http://schemas.openxmlformats.org/officeDocument/2006/relationships/hyperlink" Target="http://www.nevo.co.il/case/5920165" TargetMode="External"/><Relationship Id="rId43" Type="http://schemas.openxmlformats.org/officeDocument/2006/relationships/hyperlink" Target="http://www.nevo.co.il/case/25723369" TargetMode="External"/><Relationship Id="rId44" Type="http://schemas.openxmlformats.org/officeDocument/2006/relationships/hyperlink" Target="http://www.nevo.co.il/case/26747892" TargetMode="External"/><Relationship Id="rId45" Type="http://schemas.openxmlformats.org/officeDocument/2006/relationships/hyperlink" Target="http://www.nevo.co.il/case/27115374" TargetMode="External"/><Relationship Id="rId46" Type="http://schemas.openxmlformats.org/officeDocument/2006/relationships/hyperlink" Target="http://www.nevo.co.il/law/70301/40i.a" TargetMode="External"/><Relationship Id="rId47" Type="http://schemas.openxmlformats.org/officeDocument/2006/relationships/hyperlink" Target="http://www.nevo.co.il/law/70301/40i.a.1" TargetMode="External"/><Relationship Id="rId48" Type="http://schemas.openxmlformats.org/officeDocument/2006/relationships/hyperlink" Target="http://www.nevo.co.il/law/70301/40i.a.2" TargetMode="External"/><Relationship Id="rId49" Type="http://schemas.openxmlformats.org/officeDocument/2006/relationships/hyperlink" Target="http://www.nevo.co.il/law/70301/40i.a.3" TargetMode="External"/><Relationship Id="rId50" Type="http://schemas.openxmlformats.org/officeDocument/2006/relationships/hyperlink" Target="http://www.nevo.co.il/law/70301/40i.a.4" TargetMode="External"/><Relationship Id="rId51" Type="http://schemas.openxmlformats.org/officeDocument/2006/relationships/hyperlink" Target="http://www.nevo.co.il/law/70301/40i.a.10" TargetMode="External"/><Relationship Id="rId52" Type="http://schemas.openxmlformats.org/officeDocument/2006/relationships/hyperlink" Target="http://www.nevo.co.il/case/28614520" TargetMode="External"/><Relationship Id="rId53" Type="http://schemas.openxmlformats.org/officeDocument/2006/relationships/hyperlink" Target="http://www.nevo.co.il/case/28280815" TargetMode="External"/><Relationship Id="rId54" Type="http://schemas.openxmlformats.org/officeDocument/2006/relationships/hyperlink" Target="http://www.nevo.co.il/case/27115374" TargetMode="External"/><Relationship Id="rId55" Type="http://schemas.openxmlformats.org/officeDocument/2006/relationships/hyperlink" Target="http://www.nevo.co.il/case/27272576" TargetMode="External"/><Relationship Id="rId56" Type="http://schemas.openxmlformats.org/officeDocument/2006/relationships/hyperlink" Target="http://www.nevo.co.il/case/24269594" TargetMode="External"/><Relationship Id="rId57" Type="http://schemas.openxmlformats.org/officeDocument/2006/relationships/hyperlink" Target="http://www.nevo.co.il/case/22791135" TargetMode="External"/><Relationship Id="rId58" Type="http://schemas.openxmlformats.org/officeDocument/2006/relationships/hyperlink" Target="http://www.nevo.co.il/case/21477135" TargetMode="External"/><Relationship Id="rId59" Type="http://schemas.openxmlformats.org/officeDocument/2006/relationships/hyperlink" Target="http://www.nevo.co.il/case/20032343" TargetMode="External"/><Relationship Id="rId60" Type="http://schemas.openxmlformats.org/officeDocument/2006/relationships/hyperlink" Target="http://www.nevo.co.il/case/20450586" TargetMode="External"/><Relationship Id="rId61" Type="http://schemas.openxmlformats.org/officeDocument/2006/relationships/hyperlink" Target="http://www.nevo.co.il/case/20770441" TargetMode="External"/><Relationship Id="rId62" Type="http://schemas.openxmlformats.org/officeDocument/2006/relationships/hyperlink" Target="http://www.nevo.co.il/law/70301/40ja" TargetMode="External"/><Relationship Id="rId63" Type="http://schemas.openxmlformats.org/officeDocument/2006/relationships/hyperlink" Target="http://www.nevo.co.il/law/70301/40ja.1" TargetMode="External"/><Relationship Id="rId64" Type="http://schemas.openxmlformats.org/officeDocument/2006/relationships/hyperlink" Target="http://www.nevo.co.il/law/70301/40ja.4" TargetMode="External"/><Relationship Id="rId65" Type="http://schemas.openxmlformats.org/officeDocument/2006/relationships/hyperlink" Target="http://www.nevo.co.il/law/70301/40ja.11" TargetMode="External"/><Relationship Id="rId66" Type="http://schemas.openxmlformats.org/officeDocument/2006/relationships/hyperlink" Target="http://www.nevo.co.il/law/70301/40f" TargetMode="External"/><Relationship Id="rId67" Type="http://schemas.openxmlformats.org/officeDocument/2006/relationships/hyperlink" Target="http://www.nevo.co.il/law/70301/40g" TargetMode="External"/><Relationship Id="rId68" Type="http://schemas.openxmlformats.org/officeDocument/2006/relationships/hyperlink" Target="http://www.nevo.co.il/case/28614520" TargetMode="External"/><Relationship Id="rId69" Type="http://schemas.openxmlformats.org/officeDocument/2006/relationships/hyperlink" Target="http://www.nevo.co.il/case/27272576" TargetMode="External"/><Relationship Id="rId70" Type="http://schemas.openxmlformats.org/officeDocument/2006/relationships/hyperlink" Target="http://www.nevo.co.il/law/70301/40e" TargetMode="External"/><Relationship Id="rId71" Type="http://schemas.openxmlformats.org/officeDocument/2006/relationships/hyperlink" Target="http://www.nevo.co.il/law/70301/40d" TargetMode="External"/><Relationship Id="rId72" Type="http://schemas.openxmlformats.org/officeDocument/2006/relationships/hyperlink" Target="http://www.nevo.co.il/advertisements/nevo-100.doc" TargetMode="External"/><Relationship Id="rId73" Type="http://schemas.openxmlformats.org/officeDocument/2006/relationships/header" Target="header1.xml"/><Relationship Id="rId74" Type="http://schemas.openxmlformats.org/officeDocument/2006/relationships/footer" Target="footer1.xml"/><Relationship Id="rId75" Type="http://schemas.openxmlformats.org/officeDocument/2006/relationships/numbering" Target="numbering.xml"/><Relationship Id="rId76" Type="http://schemas.openxmlformats.org/officeDocument/2006/relationships/fontTable" Target="fontTable.xml"/><Relationship Id="rId77" Type="http://schemas.openxmlformats.org/officeDocument/2006/relationships/settings" Target="settings.xml"/><Relationship Id="rId7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2024-10-10T08:19:00Z</dcterms:created>
  <dc:creator> </dc:creator>
  <dc:description/>
  <cp:keywords/>
  <dc:language>en-IL</dc:language>
  <cp:lastModifiedBy>orly</cp:lastModifiedBy>
  <dcterms:modified xsi:type="dcterms:W3CDTF">2024-10-10T08:19:00Z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אלעביד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13093721;27535026;5920165;25723369;26747892;27115374:2;28614520:2;28280815;27272576:2;24269594;22791135;21477135;20032343;20450586;20770441</vt:lpwstr>
  </property>
  <property fmtid="{D5CDD505-2E9C-101B-9397-08002B2CF9AE}" pid="9" name="CITY">
    <vt:lpwstr>ת"א</vt:lpwstr>
  </property>
  <property fmtid="{D5CDD505-2E9C-101B-9397-08002B2CF9AE}" pid="10" name="DATE">
    <vt:lpwstr>20241006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גלעד נויטל;טלי חיימוביץ;לימור ביבי</vt:lpwstr>
  </property>
  <property fmtid="{D5CDD505-2E9C-101B-9397-08002B2CF9AE}" pid="14" name="LAWLISTTMP1">
    <vt:lpwstr>70301/329.a.1:2;144.b:2;340a.b.1:2;329;040b;040c;040i;40jc.a;040i.a;040i.a.1;040i.a.2;040i.a.3;040i.a.4;040i.a.10;40ja;40ja.1;40ja.4;40ja.11;040f;040g;040e;040d</vt:lpwstr>
  </property>
  <property fmtid="{D5CDD505-2E9C-101B-9397-08002B2CF9AE}" pid="15" name="LAWYER">
    <vt:lpwstr>פנינה לוי;אורי בן נתן;שיר שם טוב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17865</vt:lpwstr>
  </property>
  <property fmtid="{D5CDD505-2E9C-101B-9397-08002B2CF9AE}" pid="23" name="NEWPARTB">
    <vt:lpwstr>11</vt:lpwstr>
  </property>
  <property fmtid="{D5CDD505-2E9C-101B-9397-08002B2CF9AE}" pid="24" name="NEWPARTC">
    <vt:lpwstr>21</vt:lpwstr>
  </property>
  <property fmtid="{D5CDD505-2E9C-101B-9397-08002B2CF9AE}" pid="25" name="NEWPROC">
    <vt:lpwstr>תפח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חבלה בכוונה מחמירה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נשק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19401;13800</vt:lpwstr>
  </property>
  <property fmtid="{D5CDD505-2E9C-101B-9397-08002B2CF9AE}" pid="59" name="PADIDATE">
    <vt:lpwstr>20241010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390120241006</vt:lpwstr>
  </property>
  <property fmtid="{D5CDD505-2E9C-101B-9397-08002B2CF9AE}" pid="69" name="TYPE_N_DATE">
    <vt:lpwstr>39020241006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