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18488-12-15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אבשייב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שפירא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נשיא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אליקים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נאות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פרי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גאנם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אבשייב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ואדים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ארבל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עמיגה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58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287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השופטת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תמר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נאות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פרי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מבוא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–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2" w:end="0"/>
        <w:jc w:val="both"/>
        <w:rPr>
          <w:rFonts w:ascii="Calibri" w:hAnsi="Calibri" w:cs="Calibri"/>
        </w:rPr>
      </w:pPr>
      <w:bookmarkStart w:id="7" w:name="ABSTRACT_START"/>
      <w:bookmarkEnd w:id="7"/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אבשייב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1980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אבשייב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25.6.2015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יאניס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יושייב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11.11.2015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ויצמן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הבית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באזכרה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בהתאם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חשמליים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מוסתרות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/>
      </w:pPr>
      <w:bookmarkStart w:id="8" w:name="ABSTRACT_END"/>
      <w:bookmarkEnd w:id="8"/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20:45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בלוויית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פנחס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יעקובוב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פנחס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והשניים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ופנחס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האופניים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החשמליים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פנחס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הירי</w:t>
      </w:r>
      <w:r>
        <w:rPr>
          <w:rFonts w:cs="Calibri" w:ascii="Calibri" w:hAnsi="Calibri"/>
          <w:rtl w:val="true"/>
        </w:rPr>
        <w:t xml:space="preserve">").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אושפז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22.11.2015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מרוסק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ומונשם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פנחס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חירום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נצפו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קולון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דימום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50%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דימום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בפנחס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ובקרעים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ניתוחים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מעצר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הבית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1438-06-15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לתעבורה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תיק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התעבורה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יוחסו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הבאות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hyperlink r:id="rId16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");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333</w:t>
        </w:r>
      </w:hyperlink>
      <w:r>
        <w:rPr>
          <w:rFonts w:cs="Calibri" w:ascii="Calibri" w:hAnsi="Calibri"/>
          <w:rtl w:val="true"/>
        </w:rPr>
        <w:t xml:space="preserve"> + </w:t>
      </w:r>
      <w:hyperlink r:id="rId18">
        <w:r>
          <w:rPr>
            <w:rStyle w:val="Hyperlink"/>
            <w:rFonts w:cs="Calibri" w:ascii="Calibri" w:hAnsi="Calibri"/>
            <w:color w:val="0000FF"/>
            <w:u w:val="single"/>
          </w:rPr>
          <w:t>335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והובלה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19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והורשע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ועתה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–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2" w:end="0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מטעם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u w:val="double"/>
          <w:rtl w:val="true"/>
        </w:rPr>
        <w:t>ענ</w:t>
      </w:r>
      <w:r>
        <w:rPr>
          <w:rFonts w:cs="Calibri" w:ascii="Calibri" w:hAnsi="Calibri"/>
          <w:u w:val="double"/>
          <w:rtl w:val="true"/>
        </w:rPr>
        <w:t>/</w:t>
      </w:r>
      <w:r>
        <w:rPr>
          <w:rFonts w:cs="Calibri" w:ascii="Calibri" w:hAnsi="Calibri"/>
          <w:u w:val="double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1996-2000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u w:val="single"/>
          <w:rtl w:val="true"/>
        </w:rPr>
        <w:t>מטעם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לקצבאות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u w:val="double"/>
          <w:rtl w:val="true"/>
        </w:rPr>
        <w:t>נ</w:t>
      </w:r>
      <w:r>
        <w:rPr>
          <w:rFonts w:cs="Calibri" w:ascii="Calibri" w:hAnsi="Calibri"/>
          <w:u w:val="double"/>
          <w:rtl w:val="true"/>
        </w:rPr>
        <w:t>/</w:t>
      </w:r>
      <w:r>
        <w:rPr>
          <w:rFonts w:cs="Calibri" w:ascii="Calibri" w:hAnsi="Calibri"/>
          <w:u w:val="double"/>
        </w:rPr>
        <w:t>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וגמלת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הבטחת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הכנסה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u w:val="double"/>
          <w:rtl w:val="true"/>
        </w:rPr>
        <w:t>נ</w:t>
      </w:r>
      <w:r>
        <w:rPr>
          <w:rFonts w:cs="Calibri" w:ascii="Calibri" w:hAnsi="Calibri"/>
          <w:u w:val="double"/>
          <w:rtl w:val="true"/>
        </w:rPr>
        <w:t>/</w:t>
      </w:r>
      <w:r>
        <w:rPr>
          <w:rFonts w:cs="Calibri" w:ascii="Calibri" w:hAnsi="Calibri"/>
          <w:u w:val="double"/>
        </w:rPr>
        <w:t>2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u w:val="double"/>
          <w:rtl w:val="true"/>
        </w:rPr>
        <w:t>נ</w:t>
      </w:r>
      <w:r>
        <w:rPr>
          <w:rFonts w:cs="Calibri" w:ascii="Calibri" w:hAnsi="Calibri"/>
          <w:u w:val="double"/>
          <w:rtl w:val="true"/>
        </w:rPr>
        <w:t>/</w:t>
      </w:r>
      <w:r>
        <w:rPr>
          <w:rFonts w:cs="Calibri" w:ascii="Calibri" w:hAnsi="Calibri"/>
          <w:u w:val="double"/>
        </w:rPr>
        <w:t>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פתוחים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בלשכת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ואמו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לעניין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–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בסיכומיה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פנחס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ברוטלית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ואכזרית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בולטים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להילחם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ובייחוד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סכסוכים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תקיף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שחובש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קטלנית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רגישים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" –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נרתע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למשטרה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והמשמעות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מסתובב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מציינת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ומודעותו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החשד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מנקודות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המוקדם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בהשתלשלות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2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ולפנחס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>.</w:t>
      </w:r>
      <w:r>
        <w:rPr>
          <w:rFonts w:cs="Guttman Yad-Light" w:ascii="Calibri" w:hAnsi="Calibri"/>
          <w:rtl w:val="true"/>
        </w:rPr>
        <w:t xml:space="preserve">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לגבי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–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סנגורו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מתוחכם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בלהט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עשתונות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ולפנחס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התוצאה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נקודתית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וזמנית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שתהיינה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לעדויות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לטשטוש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הישר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ושימשו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האובדן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והתלוותה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צדק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תחושות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מומשו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להמעיט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המוקדם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טעות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נקודתית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ספציפי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ספציפי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שעוצמת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סוציואקונומיים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ומשפחתיים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והבכור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ותומך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מטפלת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בילדיהם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ונסמכת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קצבאות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הבסיסי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המובנים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בילדיו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בחמשת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ומזמנם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ופנחס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מעדותם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ומהפגיעות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לאשתו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התמתנות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ניכוי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ימי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המעצר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והפחתה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מהניכוי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מאסר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בתיק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אחר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במהלך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המעצר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–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11.11.2015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משמע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11.11.2015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שבמקביל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20.1.2016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מוצג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double"/>
          <w:rtl w:val="true"/>
        </w:rPr>
        <w:t>ענ</w:t>
      </w:r>
      <w:r>
        <w:rPr>
          <w:rFonts w:cs="Calibri" w:ascii="Calibri" w:hAnsi="Calibri"/>
          <w:u w:val="double"/>
          <w:rtl w:val="true"/>
        </w:rPr>
        <w:t>/</w:t>
      </w:r>
      <w:r>
        <w:rPr>
          <w:rFonts w:cs="Calibri" w:ascii="Calibri" w:hAnsi="Calibri"/>
          <w:u w:val="double"/>
        </w:rPr>
        <w:t>2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20.1.2016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20.5.2016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התעבורה</w:t>
      </w:r>
      <w:r>
        <w:rPr>
          <w:rFonts w:cs="Calibri" w:ascii="Calibri" w:hAnsi="Calibri"/>
          <w:rtl w:val="true"/>
        </w:rPr>
        <w:t xml:space="preserve">").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כידוע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כלומר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ומכבידה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והיבטים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ולמצער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9277/11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גבאלי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27.12.2012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תוכרע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דברי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  <w:rtl w:val="true"/>
        </w:rPr>
        <w:t xml:space="preserve">-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וכאב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אהב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נרצח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עושה</w:t>
      </w:r>
      <w:r>
        <w:rPr>
          <w:rFonts w:cs="Calibri" w:ascii="Calibri" w:hAnsi="Calibri"/>
          <w:rtl w:val="true"/>
        </w:rPr>
        <w:t xml:space="preserve">" –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תודה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לאל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שהנפגעים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ובילדיו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  <w:rtl w:val="true"/>
        </w:rPr>
        <w:t>-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נסיבות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ביצוע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העבירה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–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שיקולים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בקביעת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ההולם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–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אירוע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בודד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מספר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אירועים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–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ובהתאם</w:t>
      </w:r>
      <w:r>
        <w:rPr>
          <w:rFonts w:ascii="Calibri" w:hAnsi="Calibri" w:cs="Calibri"/>
          <w:rtl w:val="true"/>
        </w:rPr>
        <w:t xml:space="preserve">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הערכים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הנפגעים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–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פנחס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בקרבת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שתוארו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שלמרבית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המזל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הותירו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צמיתות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4697/11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אלצאנע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24.3.2013</w:t>
      </w:r>
      <w:r>
        <w:rPr>
          <w:rFonts w:cs="Calibri" w:ascii="Calibri" w:hAnsi="Calibri"/>
          <w:rtl w:val="true"/>
        </w:rPr>
        <w:t>)).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נסיבות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הקשורות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בביצוע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העבירה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–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היוזם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הבלעדי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שיעור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קטלנית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מפציעתו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ופנחס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ההבדל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סנטימטרים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בודדים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סכסוכים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נקמה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ונקבע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458/14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29.1.2015</w:t>
      </w:r>
      <w:r>
        <w:rPr>
          <w:rFonts w:cs="Calibri" w:ascii="Calibri" w:hAnsi="Calibri"/>
          <w:rtl w:val="true"/>
        </w:rPr>
        <w:t xml:space="preserve">)).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בסביבת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 xml:space="preserve">:  </w:t>
      </w:r>
    </w:p>
    <w:p>
      <w:pPr>
        <w:pStyle w:val="Normal"/>
        <w:tabs>
          <w:tab w:val="clear" w:pos="720"/>
          <w:tab w:val="left" w:pos="686" w:leader="none"/>
        </w:tabs>
        <w:spacing w:before="0" w:after="240"/>
        <w:ind w:start="544" w:end="709"/>
        <w:jc w:val="both"/>
        <w:rPr/>
      </w:pPr>
      <w:r>
        <w:rPr>
          <w:rFonts w:cs="Narkisim"/>
          <w:rtl w:val="true"/>
        </w:rPr>
        <w:t>"</w:t>
      </w:r>
      <w:r>
        <w:rPr>
          <w:rFonts w:cs="Narkisi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ולמגרה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הנחרץ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ביותר</w:t>
      </w:r>
      <w:r>
        <w:rPr>
          <w:rFonts w:cs="Narkisim"/>
          <w:rtl w:val="true"/>
        </w:rPr>
        <w:t xml:space="preserve">. </w:t>
      </w:r>
      <w:r>
        <w:rPr>
          <w:rFonts w:cs="Narkisim"/>
          <w:rtl w:val="true"/>
        </w:rPr>
        <w:t>דמם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קיפדו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פתיל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חייהם</w:t>
      </w:r>
      <w:r>
        <w:rPr>
          <w:rFonts w:cs="Narkisim"/>
          <w:rtl w:val="true"/>
        </w:rPr>
        <w:t xml:space="preserve">, </w:t>
      </w:r>
      <w:r>
        <w:rPr>
          <w:rFonts w:cs="Narkisim"/>
          <w:rtl w:val="true"/>
        </w:rPr>
        <w:t>בכללם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תמימים</w:t>
      </w:r>
      <w:r>
        <w:rPr>
          <w:rFonts w:cs="Narkisim"/>
          <w:rtl w:val="true"/>
        </w:rPr>
        <w:t xml:space="preserve">, </w:t>
      </w:r>
      <w:r>
        <w:rPr>
          <w:rFonts w:cs="Narkisim"/>
          <w:rtl w:val="true"/>
        </w:rPr>
        <w:t>זועק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האדמה</w:t>
      </w:r>
      <w:r>
        <w:rPr>
          <w:rFonts w:cs="Narkisim"/>
          <w:rtl w:val="true"/>
        </w:rPr>
        <w:t xml:space="preserve">. </w:t>
      </w:r>
      <w:r>
        <w:rPr>
          <w:rFonts w:cs="Narkisi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אלו</w:t>
      </w:r>
      <w:r>
        <w:rPr>
          <w:rFonts w:cs="Narkisim"/>
          <w:rtl w:val="true"/>
        </w:rPr>
        <w:t xml:space="preserve">, </w:t>
      </w:r>
      <w:r>
        <w:rPr>
          <w:rFonts w:cs="Narkisi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מכביד</w:t>
      </w:r>
      <w:r>
        <w:rPr>
          <w:rFonts w:cs="Narkisim"/>
          <w:rtl w:val="true"/>
        </w:rPr>
        <w:t xml:space="preserve">", </w:t>
      </w:r>
    </w:p>
    <w:p>
      <w:pPr>
        <w:pStyle w:val="Normal"/>
        <w:tabs>
          <w:tab w:val="clear" w:pos="720"/>
          <w:tab w:val="left" w:pos="403" w:leader="none"/>
          <w:tab w:val="left" w:pos="545" w:leader="none"/>
          <w:tab w:val="left" w:pos="686" w:leader="none"/>
        </w:tabs>
        <w:spacing w:lineRule="auto" w:line="360" w:before="0" w:after="120"/>
        <w:ind w:start="-22" w:end="0"/>
        <w:jc w:val="both"/>
        <w:rPr/>
      </w:pPr>
      <w:r>
        <w:rPr>
          <w:rFonts w:cs="Calibri" w:ascii="Calibri" w:hAnsi="Calibri"/>
          <w:rtl w:val="true"/>
        </w:rPr>
        <w:tab/>
        <w:tab/>
        <w:tab/>
        <w:tab/>
        <w:tab/>
        <w:t>(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עמאש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17.9.2015</w:t>
      </w:r>
      <w:r>
        <w:rPr>
          <w:rFonts w:cs="Calibri" w:ascii="Calibri" w:hAnsi="Calibri"/>
          <w:rtl w:val="true"/>
        </w:rPr>
        <w:t>)).</w:t>
      </w:r>
    </w:p>
    <w:p>
      <w:pPr>
        <w:pStyle w:val="Normal"/>
        <w:tabs>
          <w:tab w:val="clear" w:pos="720"/>
          <w:tab w:val="left" w:pos="403" w:leader="none"/>
          <w:tab w:val="left" w:pos="545" w:leader="none"/>
          <w:tab w:val="left" w:pos="686" w:leader="none"/>
        </w:tabs>
        <w:spacing w:lineRule="auto" w:line="360" w:before="0" w:after="120"/>
        <w:ind w:start="-22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שנייה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וכעס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כדוגמה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שהתבררה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7538/14</w:t>
        </w:r>
      </w:hyperlink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עטל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נ</w:t>
      </w:r>
      <w:r>
        <w:rPr>
          <w:rFonts w:cs="Calibri" w:ascii="Calibri" w:hAnsi="Calibri"/>
          <w:b/>
          <w:bCs/>
          <w:color w:val="000000"/>
          <w:rtl w:val="true"/>
        </w:rPr>
        <w:t xml:space="preserve">' </w:t>
      </w:r>
      <w:r>
        <w:rPr>
          <w:rFonts w:ascii="Calibri" w:hAnsi="Calibri" w:cs="Calibri"/>
          <w:b/>
          <w:b/>
          <w:bCs/>
          <w:color w:val="000000"/>
          <w:rtl w:val="true"/>
        </w:rPr>
        <w:t>מדינת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ישראל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  <w:rtl w:val="true"/>
        </w:rPr>
        <w:t>(</w:t>
      </w:r>
      <w:r>
        <w:rPr>
          <w:rFonts w:cs="Calibri" w:ascii="Calibri" w:hAnsi="Calibri"/>
          <w:color w:val="000000"/>
        </w:rPr>
        <w:t>19.11.2015</w:t>
      </w:r>
      <w:r>
        <w:rPr>
          <w:rFonts w:cs="Calibri" w:ascii="Calibri" w:hAnsi="Calibri"/>
          <w:color w:val="000000"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התבערה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לשלומו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לאמור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tabs>
          <w:tab w:val="clear" w:pos="720"/>
          <w:tab w:val="left" w:pos="686" w:leader="none"/>
        </w:tabs>
        <w:spacing w:before="0" w:after="240"/>
        <w:ind w:start="544" w:end="709"/>
        <w:contextualSpacing/>
        <w:jc w:val="both"/>
        <w:rPr>
          <w:rFonts w:cs="Narkisim"/>
        </w:rPr>
      </w:pPr>
      <w:r>
        <w:rPr>
          <w:rFonts w:cs="Narkisim"/>
          <w:rtl w:val="true"/>
        </w:rPr>
        <w:t>"</w:t>
      </w:r>
      <w:r>
        <w:rPr>
          <w:rFonts w:cs="Narkisi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התעברה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כפות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המאזניים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ולהפחית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מחומרתו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הירי</w:t>
      </w:r>
      <w:r>
        <w:rPr>
          <w:rFonts w:cs="Narkisim"/>
          <w:rtl w:val="true"/>
        </w:rPr>
        <w:t xml:space="preserve">, </w:t>
      </w:r>
      <w:r>
        <w:rPr>
          <w:rFonts w:cs="Narkisim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לחומרה</w:t>
      </w:r>
      <w:r>
        <w:rPr>
          <w:rFonts w:cs="Narkisim"/>
          <w:rtl w:val="true"/>
        </w:rPr>
        <w:t xml:space="preserve">, </w:t>
      </w:r>
      <w:r>
        <w:rPr>
          <w:rFonts w:cs="Narkisi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ביודעין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חם</w:t>
      </w:r>
      <w:r>
        <w:rPr>
          <w:rFonts w:cs="Narkisim"/>
          <w:rtl w:val="true"/>
        </w:rPr>
        <w:t>."</w:t>
      </w:r>
    </w:p>
    <w:p>
      <w:pPr>
        <w:pStyle w:val="Normal"/>
        <w:tabs>
          <w:tab w:val="clear" w:pos="720"/>
          <w:tab w:val="left" w:pos="686" w:leader="none"/>
        </w:tabs>
        <w:spacing w:before="0" w:after="240"/>
        <w:ind w:start="544" w:end="709"/>
        <w:contextualSpacing/>
        <w:jc w:val="both"/>
        <w:rPr>
          <w:rFonts w:cs="Narkisim"/>
        </w:rPr>
      </w:pPr>
      <w:r>
        <w:rPr>
          <w:rFonts w:cs="Narkisim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חשמליים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האזכרה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מדיניות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הענישה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הנהוגה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–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יכולות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סיטואציות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שבאמצעותו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וכו</w:t>
      </w:r>
      <w:r>
        <w:rPr>
          <w:rFonts w:cs="Calibri" w:ascii="Calibri" w:hAnsi="Calibri"/>
          <w:rtl w:val="true"/>
        </w:rPr>
        <w:t xml:space="preserve">'.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בהרבה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הבאה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12122-04-13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יונס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14.1.2015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במלואו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double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הוכרע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1186/15</w:t>
        </w:r>
      </w:hyperlink>
      <w:r>
        <w:rPr>
          <w:rFonts w:cs="Calibri" w:ascii="Calibri" w:hAnsi="Calibri"/>
          <w:rtl w:val="true"/>
        </w:rPr>
        <w:t>).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8725-11-13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10.11.2014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שנכללה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מצטברים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double"/>
        </w:rPr>
        <w:t>9.5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הוכרע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8721/14</w:t>
        </w:r>
      </w:hyperlink>
      <w:r>
        <w:rPr>
          <w:rFonts w:cs="Calibri" w:ascii="Calibri" w:hAnsi="Calibri"/>
          <w:rtl w:val="true"/>
        </w:rPr>
        <w:t>).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hanging="22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4697/11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אלצאנע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24.3.2014</w:t>
      </w:r>
      <w:r>
        <w:rPr>
          <w:rtl w:val="true"/>
        </w:rPr>
        <w:t xml:space="preserve">),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התינוקת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double"/>
        </w:rPr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hanging="22" w:start="-22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  <w:tab/>
      </w:r>
      <w:r>
        <w:rPr>
          <w:rFonts w:ascii="Calibri" w:hAnsi="Calibri" w:cs="Calibri"/>
          <w:rtl w:val="true"/>
        </w:rPr>
        <w:t>ב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7538/14</w:t>
        </w:r>
      </w:hyperlink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עטל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נ</w:t>
      </w:r>
      <w:r>
        <w:rPr>
          <w:rFonts w:cs="Calibri" w:ascii="Calibri" w:hAnsi="Calibri"/>
          <w:b/>
          <w:bCs/>
          <w:color w:val="000000"/>
          <w:rtl w:val="true"/>
        </w:rPr>
        <w:t xml:space="preserve">' </w:t>
      </w:r>
      <w:r>
        <w:rPr>
          <w:rFonts w:ascii="Calibri" w:hAnsi="Calibri" w:cs="Calibri"/>
          <w:b/>
          <w:b/>
          <w:bCs/>
          <w:color w:val="000000"/>
          <w:rtl w:val="true"/>
        </w:rPr>
        <w:t>מדינת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ישראל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  <w:rtl w:val="true"/>
        </w:rPr>
        <w:t>(</w:t>
      </w:r>
      <w:r>
        <w:rPr>
          <w:rFonts w:cs="Calibri" w:ascii="Calibri" w:hAnsi="Calibri"/>
          <w:color w:val="000000"/>
        </w:rPr>
        <w:t>19.11.2015</w:t>
      </w:r>
      <w:r>
        <w:rPr>
          <w:rFonts w:cs="Calibri" w:ascii="Calibri" w:hAnsi="Calibri"/>
          <w:color w:val="000000"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double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hanging="22" w:start="-22" w:end="0"/>
        <w:jc w:val="both"/>
        <w:rPr/>
      </w:pPr>
      <w:r>
        <w:rPr>
          <w:rFonts w:cs="Calibri" w:ascii="Calibri" w:hAnsi="Calibri"/>
          <w:rtl w:val="true"/>
        </w:rPr>
        <w:tab/>
        <w:tab/>
      </w:r>
      <w:r>
        <w:rPr>
          <w:rFonts w:ascii="Calibri" w:hAnsi="Calibri" w:cs="Calibri"/>
          <w:rtl w:val="true"/>
        </w:rPr>
        <w:t>ב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768/13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29.10.2014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לחניון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וחמושים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באיש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נוהלו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ובסופם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double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hanging="22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5594/09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עזרייב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5.5.2010</w:t>
      </w:r>
      <w:r>
        <w:rPr>
          <w:rtl w:val="true"/>
        </w:rPr>
        <w:t xml:space="preserve">)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u w:val="double"/>
        </w:rPr>
        <w:t>6.5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hanging="22" w:start="-22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  <w:tab/>
      </w:r>
      <w:r>
        <w:rPr>
          <w:rFonts w:ascii="Calibri" w:hAnsi="Calibri" w:cs="Calibri"/>
          <w:rtl w:val="true"/>
        </w:rPr>
        <w:t>ב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6383/12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זוהיר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29.9.2014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הצטייד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במוסך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4-6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ברגלו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u w:val="double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hanging="22" w:start="-22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  <w:tab/>
      </w:r>
      <w:r>
        <w:rPr>
          <w:rFonts w:ascii="Calibri" w:hAnsi="Calibri" w:cs="Calibri"/>
          <w:rtl w:val="true"/>
        </w:rPr>
        <w:t>ב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2064/14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קואסמי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24.2.2015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double"/>
        </w:rPr>
        <w:t>4.5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בגפיים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hanging="22" w:start="-22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  <w:tab/>
      </w:r>
      <w:r>
        <w:rPr>
          <w:rFonts w:ascii="Calibri" w:hAnsi="Calibri" w:cs="Calibri"/>
          <w:rtl w:val="true"/>
        </w:rPr>
        <w:t>ב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8641/12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5.8.2013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הזמין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והצטייד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3-4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ברגליו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double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hanging="22" w:start="-22" w:end="0"/>
        <w:jc w:val="both"/>
        <w:rPr/>
      </w:pPr>
      <w:r>
        <w:rPr>
          <w:rFonts w:cs="Calibri" w:ascii="Calibri" w:hAnsi="Calibri"/>
          <w:rtl w:val="true"/>
        </w:rPr>
        <w:tab/>
        <w:tab/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6296/11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אגבריה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13.11.2012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הקדמית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וירכו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הגרעינית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u w:val="double"/>
        </w:rPr>
        <w:t>4</w:t>
      </w:r>
      <w:r>
        <w:rPr>
          <w:rFonts w:cs="Calibri" w:ascii="Calibri" w:hAnsi="Calibri"/>
          <w:u w:val="double"/>
          <w:rtl w:val="true"/>
        </w:rPr>
        <w:t xml:space="preserve"> </w:t>
      </w:r>
      <w:r>
        <w:rPr>
          <w:rFonts w:ascii="Calibri" w:hAnsi="Calibri" w:cs="Calibri"/>
          <w:u w:val="double"/>
          <w:rtl w:val="true"/>
        </w:rPr>
        <w:t>שנות</w:t>
      </w:r>
      <w:r>
        <w:rPr>
          <w:rFonts w:ascii="Calibri" w:hAnsi="Calibri" w:cs="Calibri"/>
          <w:u w:val="double"/>
          <w:rtl w:val="true"/>
        </w:rPr>
        <w:t xml:space="preserve"> </w:t>
      </w:r>
      <w:r>
        <w:rPr>
          <w:rFonts w:ascii="Calibri" w:hAnsi="Calibri" w:cs="Calibri"/>
          <w:u w:val="double"/>
          <w:rtl w:val="true"/>
        </w:rPr>
        <w:t>מאסר</w:t>
      </w:r>
      <w:r>
        <w:rPr>
          <w:rFonts w:ascii="Calibri" w:hAnsi="Calibri" w:cs="Calibri"/>
          <w:u w:val="double"/>
          <w:rtl w:val="true"/>
        </w:rPr>
        <w:t xml:space="preserve"> </w:t>
      </w:r>
      <w:r>
        <w:rPr>
          <w:rFonts w:ascii="Calibri" w:hAnsi="Calibri" w:cs="Calibri"/>
          <w:u w:val="double"/>
          <w:rtl w:val="true"/>
        </w:rPr>
        <w:t>וחודשיים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hanging="22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ב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2044/13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שטרית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19.2.2014</w:t>
      </w:r>
      <w:r>
        <w:rPr>
          <w:rtl w:val="true"/>
        </w:rPr>
        <w:t xml:space="preserve">),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u w:val="double"/>
        </w:rPr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לסיכום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6296/11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אגבריה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13.11.2012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המוזכר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tabs>
          <w:tab w:val="clear" w:pos="720"/>
          <w:tab w:val="left" w:pos="686" w:leader="none"/>
        </w:tabs>
        <w:spacing w:before="0" w:after="240"/>
        <w:ind w:start="544" w:end="709"/>
        <w:contextualSpacing/>
        <w:jc w:val="both"/>
        <w:rPr>
          <w:rFonts w:cs="Narkisim"/>
        </w:rPr>
      </w:pPr>
      <w:r>
        <w:rPr>
          <w:rFonts w:cs="Narkisim"/>
          <w:rtl w:val="true"/>
        </w:rPr>
        <w:t>"</w:t>
      </w:r>
      <w:r>
        <w:rPr>
          <w:rFonts w:cs="Narkisim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Narkisim"/>
        </w:rPr>
        <w:t>333</w:t>
      </w:r>
      <w:r>
        <w:rPr>
          <w:rFonts w:cs="Narkisim"/>
          <w:rtl w:val="true"/>
        </w:rPr>
        <w:t xml:space="preserve"> </w:t>
      </w:r>
      <w:r>
        <w:rPr>
          <w:rFonts w:cs="Narkisim"/>
          <w:rtl w:val="true"/>
        </w:rPr>
        <w:t>ל</w:t>
      </w:r>
      <w:hyperlink r:id="rId44">
        <w:r>
          <w:rPr>
            <w:rStyle w:val="Hyperlink"/>
            <w:rFonts w:cs="Narkisim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Narkisim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שכותרתו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"</w:t>
      </w:r>
      <w:r>
        <w:rPr>
          <w:rFonts w:cs="Narkisim"/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חמורה</w:t>
      </w:r>
      <w:r>
        <w:rPr>
          <w:rFonts w:cs="Narkisim"/>
          <w:rtl w:val="true"/>
        </w:rPr>
        <w:t xml:space="preserve">" </w:t>
      </w:r>
      <w:r>
        <w:rPr>
          <w:rFonts w:cs="Narkisim"/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שנים</w:t>
      </w:r>
      <w:r>
        <w:rPr>
          <w:rFonts w:cs="Narkisim"/>
          <w:rtl w:val="true"/>
        </w:rPr>
        <w:t xml:space="preserve">. </w:t>
      </w:r>
      <w:r>
        <w:rPr>
          <w:rFonts w:cs="Narkisim"/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זאת</w:t>
      </w:r>
      <w:r>
        <w:rPr>
          <w:rFonts w:cs="Narkisim"/>
          <w:rtl w:val="true"/>
        </w:rPr>
        <w:t xml:space="preserve">, </w:t>
      </w:r>
      <w:r>
        <w:rPr>
          <w:rFonts w:cs="Narkisi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מתווספת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כיסוד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עובדתי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Fonts w:cs="Narkisim"/>
        </w:rPr>
        <w:t>329</w:t>
      </w:r>
      <w:r>
        <w:rPr>
          <w:rFonts w:cs="Narkisim"/>
          <w:rtl w:val="true"/>
        </w:rPr>
        <w:t xml:space="preserve"> </w:t>
      </w:r>
      <w:r>
        <w:rPr>
          <w:rFonts w:cs="Narkisim"/>
          <w:rtl w:val="true"/>
        </w:rPr>
        <w:t>שכותרתו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"</w:t>
      </w:r>
      <w:r>
        <w:rPr>
          <w:rFonts w:cs="Narkisim"/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מחמירה</w:t>
      </w:r>
      <w:r>
        <w:rPr>
          <w:rFonts w:cs="Narkisim"/>
          <w:rtl w:val="true"/>
        </w:rPr>
        <w:t xml:space="preserve">" </w:t>
      </w:r>
      <w:r>
        <w:rPr>
          <w:rFonts w:cs="Narkisi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דיוננו</w:t>
      </w:r>
      <w:r>
        <w:rPr>
          <w:rFonts w:cs="Narkisim"/>
          <w:rtl w:val="true"/>
        </w:rPr>
        <w:t xml:space="preserve">, </w:t>
      </w:r>
      <w:r>
        <w:rPr>
          <w:rFonts w:cs="Narkisim"/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בכמעט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שלוש</w:t>
      </w:r>
      <w:r>
        <w:rPr>
          <w:rFonts w:cs="Narkisim"/>
          <w:rtl w:val="true"/>
        </w:rPr>
        <w:t xml:space="preserve">, </w:t>
      </w:r>
      <w:r>
        <w:rPr>
          <w:rFonts w:cs="Narkisim"/>
          <w:rtl w:val="true"/>
        </w:rPr>
        <w:t>ל</w:t>
      </w:r>
      <w:r>
        <w:rPr>
          <w:rFonts w:cs="Narkisim"/>
          <w:rtl w:val="true"/>
        </w:rPr>
        <w:t>-</w:t>
      </w:r>
      <w:r>
        <w:rPr>
          <w:rFonts w:cs="Narkisim"/>
        </w:rPr>
        <w:t>20</w:t>
      </w:r>
      <w:r>
        <w:rPr>
          <w:rFonts w:cs="Narkisim"/>
          <w:rtl w:val="true"/>
        </w:rPr>
        <w:t xml:space="preserve"> </w:t>
      </w:r>
      <w:r>
        <w:rPr>
          <w:rFonts w:cs="Narkisim"/>
          <w:rtl w:val="true"/>
        </w:rPr>
        <w:t>שנה</w:t>
      </w:r>
      <w:r>
        <w:rPr>
          <w:rFonts w:cs="Narkisim"/>
          <w:rtl w:val="true"/>
        </w:rPr>
        <w:t xml:space="preserve">, </w:t>
      </w:r>
      <w:r>
        <w:rPr>
          <w:rFonts w:cs="Narkisim"/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לרצח</w:t>
      </w:r>
      <w:r>
        <w:rPr>
          <w:rFonts w:cs="Narkisim"/>
          <w:rtl w:val="true"/>
        </w:rPr>
        <w:t xml:space="preserve">. </w:t>
      </w:r>
      <w:r>
        <w:rPr>
          <w:rFonts w:cs="Narkisim"/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ההבדל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רגילה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מיוחדת</w:t>
      </w:r>
      <w:r>
        <w:rPr>
          <w:rFonts w:cs="Narkisim"/>
          <w:rtl w:val="true"/>
        </w:rPr>
        <w:t xml:space="preserve">. </w:t>
      </w:r>
      <w:r>
        <w:rPr>
          <w:rFonts w:cs="Narkisi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סלידת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מהתעוזה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מכוונת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הפרט</w:t>
      </w:r>
      <w:r>
        <w:rPr>
          <w:rFonts w:cs="Narkisim"/>
          <w:rtl w:val="true"/>
        </w:rPr>
        <w:t xml:space="preserve">. </w:t>
      </w:r>
      <w:r>
        <w:rPr>
          <w:rFonts w:cs="Narkisim"/>
          <w:rtl w:val="true"/>
        </w:rPr>
        <w:t>בימ</w:t>
      </w:r>
      <w:r>
        <w:rPr>
          <w:rFonts w:cs="Narkisim"/>
          <w:rtl w:val="true"/>
        </w:rPr>
        <w:t>"</w:t>
      </w:r>
      <w:r>
        <w:rPr>
          <w:rFonts w:cs="Narkisim"/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בסוגיה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וחלוף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ריכך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התיאור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הקודר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החברתית</w:t>
      </w:r>
      <w:r>
        <w:rPr>
          <w:rFonts w:cs="Narkisim"/>
          <w:rtl w:val="true"/>
        </w:rPr>
        <w:t xml:space="preserve">, </w:t>
      </w:r>
      <w:r>
        <w:rPr>
          <w:rFonts w:cs="Narkisi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העצים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אותו</w:t>
      </w:r>
      <w:r>
        <w:rPr>
          <w:rFonts w:cs="Narkisim"/>
          <w:rtl w:val="true"/>
        </w:rPr>
        <w:t xml:space="preserve">. </w:t>
      </w:r>
      <w:r>
        <w:rPr>
          <w:rFonts w:cs="Narkisim"/>
          <w:rtl w:val="true"/>
        </w:rPr>
        <w:t>זאת</w:t>
      </w:r>
      <w:r>
        <w:rPr>
          <w:rFonts w:cs="Narkisim"/>
          <w:rtl w:val="true"/>
        </w:rPr>
        <w:t xml:space="preserve">, </w:t>
      </w:r>
      <w:r>
        <w:rPr>
          <w:rFonts w:cs="Narkisim"/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האלימות</w:t>
      </w:r>
      <w:r>
        <w:rPr>
          <w:rFonts w:cs="Narkisim"/>
          <w:rtl w:val="true"/>
        </w:rPr>
        <w:t xml:space="preserve">; </w:t>
      </w:r>
      <w:r>
        <w:rPr>
          <w:rFonts w:cs="Narkisim"/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היד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האגרוף</w:t>
      </w:r>
      <w:r>
        <w:rPr>
          <w:rFonts w:cs="Narkisim"/>
          <w:rtl w:val="true"/>
        </w:rPr>
        <w:t xml:space="preserve">; </w:t>
      </w:r>
      <w:r>
        <w:rPr>
          <w:rFonts w:cs="Narkisim"/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במעגל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צדדי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ג</w:t>
      </w:r>
      <w:r>
        <w:rPr>
          <w:rFonts w:cs="Narkisim"/>
          <w:rtl w:val="true"/>
        </w:rPr>
        <w:t xml:space="preserve">' </w:t>
      </w:r>
      <w:r>
        <w:rPr>
          <w:rFonts w:cs="Narkisim"/>
          <w:rtl w:val="true"/>
        </w:rPr>
        <w:t>שנשאבו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להם</w:t>
      </w:r>
      <w:r>
        <w:rPr>
          <w:rFonts w:cs="Narkisim"/>
          <w:rtl w:val="true"/>
        </w:rPr>
        <w:t xml:space="preserve">. </w:t>
      </w:r>
      <w:r>
        <w:rPr>
          <w:rFonts w:cs="Narkisi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ביהמ</w:t>
      </w:r>
      <w:r>
        <w:rPr>
          <w:rFonts w:cs="Narkisim"/>
          <w:rtl w:val="true"/>
        </w:rPr>
        <w:t>"</w:t>
      </w:r>
      <w:r>
        <w:rPr>
          <w:rFonts w:cs="Narkisim"/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טבע</w:t>
      </w:r>
      <w:r>
        <w:rPr>
          <w:rFonts w:cs="Narkisim"/>
          <w:rtl w:val="true"/>
        </w:rPr>
        <w:t xml:space="preserve">. </w:t>
      </w:r>
      <w:r>
        <w:rPr>
          <w:rFonts w:cs="Narkisim"/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בשלילה</w:t>
      </w:r>
      <w:r>
        <w:rPr>
          <w:rFonts w:cs="Narkisim"/>
          <w:rtl w:val="true"/>
        </w:rPr>
        <w:t xml:space="preserve">, </w:t>
      </w:r>
      <w:r>
        <w:rPr>
          <w:rFonts w:cs="Narkisi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ביהמ</w:t>
      </w:r>
      <w:r>
        <w:rPr>
          <w:rFonts w:cs="Narkisim"/>
          <w:rtl w:val="true"/>
        </w:rPr>
        <w:t>"</w:t>
      </w:r>
      <w:r>
        <w:rPr>
          <w:rFonts w:cs="Narkisim"/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למיגור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התופעה</w:t>
      </w:r>
      <w:r>
        <w:rPr>
          <w:rFonts w:cs="Narkisim"/>
          <w:rtl w:val="true"/>
        </w:rPr>
        <w:t xml:space="preserve">, </w:t>
      </w:r>
      <w:r>
        <w:rPr>
          <w:rFonts w:cs="Narkisim"/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ומרתיעים</w:t>
      </w:r>
      <w:r>
        <w:rPr>
          <w:rFonts w:cs="Narkisim"/>
          <w:rtl w:val="true"/>
        </w:rPr>
        <w:t xml:space="preserve">. </w:t>
      </w:r>
      <w:r>
        <w:rPr>
          <w:rFonts w:cs="Narkisim"/>
          <w:rtl w:val="true"/>
        </w:rPr>
        <w:t>אמנם</w:t>
      </w:r>
      <w:r>
        <w:rPr>
          <w:rFonts w:cs="Narkisim"/>
          <w:rtl w:val="true"/>
        </w:rPr>
        <w:t xml:space="preserve">, </w:t>
      </w:r>
      <w:r>
        <w:rPr>
          <w:rFonts w:cs="Narkisi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נקבעת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תעריפים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אמדנים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ואחרים</w:t>
      </w:r>
      <w:r>
        <w:rPr>
          <w:rFonts w:cs="Narkisim"/>
          <w:rtl w:val="true"/>
        </w:rPr>
        <w:t xml:space="preserve">. </w:t>
      </w:r>
      <w:r>
        <w:rPr>
          <w:rFonts w:cs="Narkisim"/>
          <w:rtl w:val="true"/>
        </w:rPr>
        <w:t>ואולם</w:t>
      </w:r>
      <w:r>
        <w:rPr>
          <w:rFonts w:cs="Narkisim"/>
          <w:rtl w:val="true"/>
        </w:rPr>
        <w:t xml:space="preserve">, </w:t>
      </w:r>
      <w:r>
        <w:rPr>
          <w:rFonts w:cs="Narkisi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כללית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לענישה</w:t>
      </w:r>
      <w:r>
        <w:rPr>
          <w:rFonts w:cs="Narkisim"/>
          <w:rtl w:val="true"/>
        </w:rPr>
        <w:t xml:space="preserve">, </w:t>
      </w:r>
      <w:r>
        <w:rPr>
          <w:rFonts w:cs="Narkisim"/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Fonts w:cs="Narkisim"/>
          <w:rtl w:val="true"/>
        </w:rPr>
        <w:t>המתאים</w:t>
      </w:r>
      <w:r>
        <w:rPr>
          <w:rFonts w:cs="Narkisim"/>
          <w:rtl w:val="true"/>
        </w:rPr>
        <w:t>."</w:t>
      </w:r>
    </w:p>
    <w:p>
      <w:pPr>
        <w:pStyle w:val="Normal"/>
        <w:tabs>
          <w:tab w:val="clear" w:pos="720"/>
          <w:tab w:val="left" w:pos="686" w:leader="none"/>
        </w:tabs>
        <w:spacing w:lineRule="exact" w:line="240" w:before="0" w:after="120"/>
        <w:ind w:start="360" w:end="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/>
      </w:pPr>
      <w:r>
        <w:rPr>
          <w:rFonts w:ascii="Calibri" w:hAnsi="Calibri" w:cs="Calibri"/>
          <w:bCs/>
          <w:u w:val="single"/>
          <w:rtl w:val="true"/>
        </w:rPr>
        <w:t>מתחם</w:t>
      </w:r>
      <w:r>
        <w:rPr>
          <w:rFonts w:ascii="Calibri" w:hAnsi="Calibri" w:cs="Calibri"/>
          <w:bCs/>
          <w:u w:val="single"/>
          <w:rtl w:val="true"/>
        </w:rPr>
        <w:t xml:space="preserve"> </w:t>
      </w:r>
      <w:r>
        <w:rPr>
          <w:rFonts w:ascii="Calibri" w:hAnsi="Calibri" w:cs="Calibri"/>
          <w:bCs/>
          <w:u w:val="single"/>
          <w:rtl w:val="true"/>
        </w:rPr>
        <w:t>הענישה</w:t>
      </w:r>
      <w:r>
        <w:rPr>
          <w:rFonts w:ascii="Calibri" w:hAnsi="Calibri" w:cs="Calibri"/>
          <w:bCs/>
          <w:u w:val="single"/>
          <w:rtl w:val="true"/>
        </w:rPr>
        <w:t xml:space="preserve"> </w:t>
      </w:r>
      <w:r>
        <w:rPr>
          <w:rFonts w:ascii="Calibri" w:hAnsi="Calibri" w:cs="Calibri"/>
          <w:bCs/>
          <w:u w:val="single"/>
          <w:rtl w:val="true"/>
        </w:rPr>
        <w:t>הראוי</w:t>
      </w:r>
      <w:r>
        <w:rPr>
          <w:rFonts w:ascii="Calibri" w:hAnsi="Calibri" w:cs="Calibri"/>
          <w:bCs/>
          <w:u w:val="single"/>
          <w:rtl w:val="true"/>
        </w:rPr>
        <w:t xml:space="preserve"> –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softHyphen/>
        <w:softHyphen/>
        <w:softHyphen/>
        <w:softHyphen/>
        <w:softHyphen/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ופנחס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ההולם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בזיקה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הענישה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הראוי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–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נותרה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הספציפי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דכאן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שרצח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לשיטתו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ובוודאי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זניח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הגרעינית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המורחבת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הצפוי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מדבריה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הנרגשים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בילדיהם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מטופלת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בתינוקות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הסוציואקונומי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המשופרים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ההוכחות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ולפנחס</w:t>
      </w:r>
      <w:r>
        <w:rPr>
          <w:rFonts w:ascii="Calibri" w:hAnsi="Calibri" w:cs="Calibri"/>
          <w:rtl w:val="true"/>
        </w:rPr>
        <w:t xml:space="preserve">  – </w:t>
      </w:r>
      <w:r>
        <w:rPr>
          <w:rFonts w:ascii="Calibri" w:hAnsi="Calibri" w:cs="Calibri"/>
          <w:rtl w:val="true"/>
        </w:rPr>
        <w:t>ונתון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פיצוי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כספי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–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בעדותו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המעיט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בלשון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המעטה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ממסירת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ולתאר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השיב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Narkisim" w:ascii="Calibri" w:hAnsi="Calibri"/>
          <w:rtl w:val="true"/>
        </w:rPr>
        <w:t>"</w:t>
      </w:r>
      <w:r>
        <w:rPr>
          <w:rFonts w:ascii="Calibri" w:hAnsi="Calibri" w:cs="Narkisim"/>
          <w:rtl w:val="true"/>
        </w:rPr>
        <w:t>כלום</w:t>
      </w:r>
      <w:r>
        <w:rPr>
          <w:rFonts w:cs="Narkisim" w:ascii="Calibri" w:hAnsi="Calibri"/>
          <w:rtl w:val="true"/>
        </w:rPr>
        <w:t xml:space="preserve">, </w:t>
      </w:r>
      <w:r>
        <w:rPr>
          <w:rFonts w:ascii="Calibri" w:hAnsi="Calibri" w:cs="Narkisim"/>
          <w:rtl w:val="true"/>
        </w:rPr>
        <w:t>הכל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Narkisim"/>
          <w:rtl w:val="true"/>
        </w:rPr>
        <w:t>בסדר</w:t>
      </w:r>
      <w:r>
        <w:rPr>
          <w:rFonts w:cs="Narkisim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למזער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2" w:end="0"/>
        <w:jc w:val="both"/>
        <w:rPr>
          <w:rFonts w:ascii="Calibri" w:hAnsi="Calibri" w:cs="Guttman Yad-Light"/>
        </w:rPr>
      </w:pPr>
      <w:r>
        <w:rPr>
          <w:rFonts w:ascii="Calibri" w:hAnsi="Calibri" w:cs="Calibri"/>
          <w:rtl w:val="true"/>
        </w:rPr>
        <w:t>לעומת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פנחס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מהותן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12-15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יובהר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1.10.2016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ההשלכות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ריצוי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המאסר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בתיק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התעבורה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במהלך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המעצר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בתיק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הנוכחי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–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3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3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הנגזרת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ויתכנו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11.11.2015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משמע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יתחיל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11.11.2015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3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משמע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3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חפיפה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מוצדקת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המושתים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ברירת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המחדל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צבירתם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לביטול</w:t>
      </w:r>
      <w:r>
        <w:rPr>
          <w:rFonts w:ascii="Calibri" w:hAnsi="Calibri" w:cs="Calibri"/>
          <w:rtl w:val="true"/>
        </w:rPr>
        <w:t xml:space="preserve"> 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45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החדש</w:t>
      </w:r>
      <w:r>
        <w:rPr>
          <w:rFonts w:cs="Calibri" w:ascii="Calibri" w:hAnsi="Calibri"/>
          <w:rtl w:val="true"/>
        </w:rPr>
        <w:t xml:space="preserve">" </w:t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מתיישבת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לכאורה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בחפיפה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שכזו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משכנעת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להוראות</w:t>
      </w:r>
      <w:r>
        <w:rPr>
          <w:rFonts w:ascii="Calibri" w:hAnsi="Calibri" w:cs="Calibri"/>
          <w:rtl w:val="true"/>
        </w:rPr>
        <w:t xml:space="preserve"> 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חופפים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7907/14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ואזנה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22.2.2015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הנסקרת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ויניב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דיני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1607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מהדורה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לחלוטין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בזמנים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3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טוען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לחלופין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לחפיפה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לחפיפה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אסיר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עצור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אסיר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רגיל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לתנאיו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אסיר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עצור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cs="Calibri" w:ascii="Calibri" w:hAnsi="Calibri"/>
          <w:rtl w:val="true"/>
        </w:rPr>
        <w:t xml:space="preserve">, </w:t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9277/11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באלי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27.12.12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ועם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שוקלים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הרלבנטיים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686" w:leader="none"/>
        </w:tabs>
        <w:spacing w:lineRule="auto" w:line="360" w:before="0" w:after="120"/>
        <w:ind w:start="-22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סיכום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–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86" w:leader="none"/>
        </w:tabs>
        <w:spacing w:lineRule="auto" w:line="360" w:before="0" w:after="120"/>
        <w:ind w:hanging="0" w:start="-2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סיכומו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ששקלתי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מאידך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-"</w:t>
      </w:r>
      <w:r>
        <w:rPr>
          <w:rFonts w:ascii="Calibri" w:hAnsi="Calibri" w:cs="Calibri"/>
          <w:rtl w:val="true"/>
        </w:rPr>
        <w:t>העיקרון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כקבוע</w:t>
      </w:r>
      <w:r>
        <w:rPr>
          <w:rFonts w:ascii="Calibri" w:hAnsi="Calibri" w:cs="Calibri"/>
          <w:rtl w:val="true"/>
        </w:rPr>
        <w:t xml:space="preserve"> </w:t>
      </w:r>
      <w:hyperlink r:id="rId5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253" w:leader="none"/>
        </w:tabs>
        <w:spacing w:lineRule="auto" w:line="360" w:before="0" w:after="120"/>
        <w:ind w:firstLine="70" w:start="758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11.11.2015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20.1.2016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כולל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21.1.2016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20.5.2016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כולל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21.5.2016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253" w:leader="none"/>
        </w:tabs>
        <w:spacing w:lineRule="auto" w:line="360" w:before="0" w:after="0"/>
        <w:ind w:firstLine="70" w:start="758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253" w:leader="none"/>
        </w:tabs>
        <w:spacing w:lineRule="auto" w:line="360" w:before="0" w:after="120"/>
        <w:ind w:firstLine="70" w:start="758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253" w:leader="none"/>
        </w:tabs>
        <w:spacing w:lineRule="auto" w:line="360" w:before="0" w:after="120"/>
        <w:ind w:firstLine="70" w:start="758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פיצוי לנפגע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פנחס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עד תביעה </w:t>
      </w: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בסך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₪, </w:t>
      </w:r>
      <w:r>
        <w:rPr>
          <w:rFonts w:ascii="Calibri" w:hAnsi="Calibri" w:cs="Calibri"/>
          <w:rtl w:val="true"/>
        </w:rPr>
        <w:t xml:space="preserve">אשר ישולם עד יום </w:t>
      </w:r>
      <w:r>
        <w:rPr>
          <w:rFonts w:cs="Calibri" w:ascii="Calibri" w:hAnsi="Calibri"/>
        </w:rPr>
        <w:t>1.10.2016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יפקיד את סכום הפיצוי במזכירות בית 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והמאשימה תמסור את פרטי נפגע העבירה לשם העברת הכספים שיופקדו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1253" w:leader="none"/>
        </w:tabs>
        <w:spacing w:lineRule="auto" w:line="360" w:before="0" w:after="120"/>
        <w:ind w:start="828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tbl>
      <w:tblPr>
        <w:bidiVisual w:val="true"/>
        <w:tblW w:w="2856" w:type="dxa"/>
        <w:jc w:val="start"/>
        <w:tblInd w:w="20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56"/>
      </w:tblGrid>
      <w:tr>
        <w:trPr/>
        <w:tc>
          <w:tcPr>
            <w:tcW w:w="285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IL" w:eastAsia="en-IL"/>
              </w:rPr>
            </w:r>
          </w:p>
        </w:tc>
      </w:tr>
      <w:tr>
        <w:trPr/>
        <w:tc>
          <w:tcPr>
            <w:tcW w:w="285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השופט רון שפיא </w:t>
      </w:r>
      <w:r>
        <w:rPr>
          <w:rFonts w:ascii="Arial" w:hAnsi="Arial" w:cs="Arial"/>
          <w:b/>
          <w:b/>
          <w:bCs/>
          <w:u w:val="single"/>
          <w:rtl w:val="true"/>
        </w:rPr>
        <w:t>–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אב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ד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אני מסכים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2834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ר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שפירא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השופט אברהם אליקים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אני מסכים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pPr w:vertAnchor="text" w:horzAnchor="margin" w:tblpXSpec="left" w:rightFromText="180" w:tblpY="75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6"/>
      </w:tblGrid>
      <w:tr>
        <w:trPr/>
        <w:tc>
          <w:tcPr>
            <w:tcW w:w="294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94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א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אליקים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בסיכומו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ומכל הטעמים שפורטו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הוחלט  לגזור  על</w:t>
      </w:r>
      <w:r>
        <w:rPr>
          <w:rFonts w:ascii="Arial" w:hAnsi="Arial" w:cs="Arial"/>
          <w:rtl w:val="true"/>
        </w:rPr>
        <w:t xml:space="preserve">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cs="Arial" w:ascii="Arial" w:hAnsi="Arial"/>
        </w:rPr>
        <w:t>6.5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תקופת המאסר תחל ביום </w:t>
      </w:r>
      <w:r>
        <w:rPr>
          <w:rFonts w:cs="Arial" w:ascii="Arial" w:hAnsi="Arial"/>
        </w:rPr>
        <w:t>11.11.2015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ותחשב עד יום 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</w:rPr>
      </w:pPr>
      <w:r>
        <w:rPr>
          <w:rFonts w:cs="Arial" w:ascii="Arial" w:hAnsi="Arial"/>
        </w:rPr>
        <w:t>20.1.2016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כולל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לאחר מכן – התקופה שמיום </w:t>
      </w:r>
      <w:r>
        <w:rPr>
          <w:rFonts w:cs="Arial" w:ascii="Arial" w:hAnsi="Arial"/>
        </w:rPr>
        <w:t>21.1.2016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20.5.2016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כולל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לא תחשב בחלק מתקופת המאסר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מניין תקופת המאסר יחל שוב מיום </w:t>
      </w:r>
      <w:r>
        <w:rPr>
          <w:rFonts w:cs="Arial" w:ascii="Arial" w:hAnsi="Arial"/>
        </w:rPr>
        <w:t>21.5.2016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ואילך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לא יישא את עונש המאסר על תנאי אלא אם יעבור תוך 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שלוש שנים עבירת אלימות מסוג פשע או עבירה בנשק מסוג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ויורשע בשל עבירה כזאת תוך תקופת התנאי או לאחריה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לא יישא את עונש המאסר על תנאי אלא אם יעבור תוך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שלוש שנים עבירת אלימות מסוג עוון או עבירה בנשק מסוג עוון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ויורשע בשל עבירה כזאת תוך תקופת התנאי או לאחריה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פיצוי לנפגע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פנחס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עד תביעה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אשר ישולם עד יום </w:t>
      </w:r>
      <w:r>
        <w:rPr>
          <w:rFonts w:cs="Arial" w:ascii="Arial" w:hAnsi="Arial"/>
        </w:rPr>
        <w:t>1.10.2016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יפקיד את סכום הפיצוי במזכירות בית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והמאשימה תמסור את פרטי נפגע העבירה לשם העברת הכספים שיופקדו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הוסברה לנאשם זכותו לערער לבית המשפט העליון בתוך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ימים מהיום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ליולי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.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  <w:gridCol w:w="360"/>
        <w:gridCol w:w="2406"/>
        <w:gridCol w:w="346"/>
        <w:gridCol w:w="2576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lang w:val="en-IL" w:eastAsia="en-IL"/>
              </w:rPr>
              <w:t>54678313</w:t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  <w:lang w:val="en-IL" w:eastAsia="en-IL"/>
              </w:rPr>
            </w:r>
          </w:p>
        </w:tc>
        <w:tc>
          <w:tcPr>
            <w:tcW w:w="240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257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IL" w:eastAsia="en-IL"/>
              </w:rPr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שפירא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240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אליקים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34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25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הרכב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      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          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4"/>
      <w:footerReference w:type="default" r:id="rId55"/>
      <w:type w:val="nextPage"/>
      <w:pgSz w:w="11906" w:h="16838"/>
      <w:pgMar w:left="1701" w:right="1701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18488-12-15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אמיל אבשייב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58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b/>
      <w:bCs/>
      <w:szCs w:val="24"/>
      <w:lang w:val="en-US" w:eastAsia="en-IL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bidi w:val="0"/>
      <w:spacing w:lineRule="exact" w:line="240" w:before="0" w:after="120"/>
      <w:ind w:hanging="0" w:start="720" w:end="0"/>
      <w:contextualSpacing/>
      <w:jc w:val="both"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45.a" TargetMode="External"/><Relationship Id="rId6" Type="http://schemas.openxmlformats.org/officeDocument/2006/relationships/hyperlink" Target="http://www.nevo.co.il/law/70301/58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87" TargetMode="External"/><Relationship Id="rId9" Type="http://schemas.openxmlformats.org/officeDocument/2006/relationships/hyperlink" Target="http://www.nevo.co.il/law/70301/329.a.1" TargetMode="External"/><Relationship Id="rId10" Type="http://schemas.openxmlformats.org/officeDocument/2006/relationships/hyperlink" Target="http://www.nevo.co.il/law/70301/333" TargetMode="External"/><Relationship Id="rId11" Type="http://schemas.openxmlformats.org/officeDocument/2006/relationships/hyperlink" Target="http://www.nevo.co.il/law/70301/335.a.1" TargetMode="External"/><Relationship Id="rId12" Type="http://schemas.openxmlformats.org/officeDocument/2006/relationships/hyperlink" Target="http://www.nevo.co.il/law/70301/40jc" TargetMode="External"/><Relationship Id="rId13" Type="http://schemas.openxmlformats.org/officeDocument/2006/relationships/hyperlink" Target="http://www.nevo.co.il/law/70301/40jc.b" TargetMode="External"/><Relationship Id="rId14" Type="http://schemas.openxmlformats.org/officeDocument/2006/relationships/hyperlink" Target="http://www.nevo.co.il/law/70301/329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33" TargetMode="External"/><Relationship Id="rId18" Type="http://schemas.openxmlformats.org/officeDocument/2006/relationships/hyperlink" Target="http://www.nevo.co.il/law/70301/335.a.1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/287" TargetMode="External"/><Relationship Id="rId21" Type="http://schemas.openxmlformats.org/officeDocument/2006/relationships/hyperlink" Target="http://www.nevo.co.il/law/70301/40i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5612389" TargetMode="External"/><Relationship Id="rId24" Type="http://schemas.openxmlformats.org/officeDocument/2006/relationships/hyperlink" Target="http://www.nevo.co.il/law/70301/40jc.b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5753941" TargetMode="External"/><Relationship Id="rId27" Type="http://schemas.openxmlformats.org/officeDocument/2006/relationships/hyperlink" Target="http://www.nevo.co.il/case/11206426" TargetMode="External"/><Relationship Id="rId28" Type="http://schemas.openxmlformats.org/officeDocument/2006/relationships/hyperlink" Target="http://www.nevo.co.il/case/20291305" TargetMode="External"/><Relationship Id="rId29" Type="http://schemas.openxmlformats.org/officeDocument/2006/relationships/hyperlink" Target="http://www.nevo.co.il/case/18653715" TargetMode="External"/><Relationship Id="rId30" Type="http://schemas.openxmlformats.org/officeDocument/2006/relationships/hyperlink" Target="http://www.nevo.co.il/case/6873678" TargetMode="External"/><Relationship Id="rId31" Type="http://schemas.openxmlformats.org/officeDocument/2006/relationships/hyperlink" Target="http://www.nevo.co.il/case/20032343" TargetMode="External"/><Relationship Id="rId32" Type="http://schemas.openxmlformats.org/officeDocument/2006/relationships/hyperlink" Target="http://www.nevo.co.il/case/8487511" TargetMode="External"/><Relationship Id="rId33" Type="http://schemas.openxmlformats.org/officeDocument/2006/relationships/hyperlink" Target="http://www.nevo.co.il/case/18749756" TargetMode="External"/><Relationship Id="rId34" Type="http://schemas.openxmlformats.org/officeDocument/2006/relationships/hyperlink" Target="http://www.nevo.co.il/case/5753941" TargetMode="External"/><Relationship Id="rId35" Type="http://schemas.openxmlformats.org/officeDocument/2006/relationships/hyperlink" Target="http://www.nevo.co.il/case/18653715" TargetMode="External"/><Relationship Id="rId36" Type="http://schemas.openxmlformats.org/officeDocument/2006/relationships/hyperlink" Target="http://www.nevo.co.il/case/5172636" TargetMode="External"/><Relationship Id="rId37" Type="http://schemas.openxmlformats.org/officeDocument/2006/relationships/hyperlink" Target="http://www.nevo.co.il/case/6022490" TargetMode="External"/><Relationship Id="rId38" Type="http://schemas.openxmlformats.org/officeDocument/2006/relationships/hyperlink" Target="http://www.nevo.co.il/case/5590183" TargetMode="External"/><Relationship Id="rId39" Type="http://schemas.openxmlformats.org/officeDocument/2006/relationships/hyperlink" Target="http://www.nevo.co.il/case/13060043" TargetMode="External"/><Relationship Id="rId40" Type="http://schemas.openxmlformats.org/officeDocument/2006/relationships/hyperlink" Target="http://www.nevo.co.il/case/5573417" TargetMode="External"/><Relationship Id="rId41" Type="http://schemas.openxmlformats.org/officeDocument/2006/relationships/hyperlink" Target="http://www.nevo.co.il/case/5594142" TargetMode="External"/><Relationship Id="rId42" Type="http://schemas.openxmlformats.org/officeDocument/2006/relationships/hyperlink" Target="http://www.nevo.co.il/case/6842737" TargetMode="External"/><Relationship Id="rId43" Type="http://schemas.openxmlformats.org/officeDocument/2006/relationships/hyperlink" Target="http://www.nevo.co.il/case/5594142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45.a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40jc" TargetMode="External"/><Relationship Id="rId48" Type="http://schemas.openxmlformats.org/officeDocument/2006/relationships/hyperlink" Target="http://www.nevo.co.il/law/70301/58" TargetMode="External"/><Relationship Id="rId49" Type="http://schemas.openxmlformats.org/officeDocument/2006/relationships/hyperlink" Target="http://www.nevo.co.il/case/18654248" TargetMode="External"/><Relationship Id="rId50" Type="http://schemas.openxmlformats.org/officeDocument/2006/relationships/hyperlink" Target="http://www.nevo.co.il/case/5612389" TargetMode="External"/><Relationship Id="rId51" Type="http://schemas.openxmlformats.org/officeDocument/2006/relationships/hyperlink" Target="http://www.nevo.co.il/law/70301/40b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advertisements/nevo-100.doc" TargetMode="Externa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numbering" Target="numbering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2016-12-01T15:14:00Z</dcterms:created>
  <dc:creator> </dc:creator>
  <dc:description/>
  <cp:keywords/>
  <dc:language>en-IL</dc:language>
  <cp:lastModifiedBy>yafit</cp:lastModifiedBy>
  <dcterms:modified xsi:type="dcterms:W3CDTF">2016-12-01T15:14:00Z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אמיל אבשייב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ProcID=213&amp;PartA=12&amp;PartC=15</vt:lpwstr>
  </property>
  <property fmtid="{D5CDD505-2E9C-101B-9397-08002B2CF9AE}" pid="9" name="CASESLISTTMP1">
    <vt:lpwstr>5612389:2;5753941:2;11206426;20291305;18653715:2;6873678;20032343;8487511;18749756;5172636;6022490;5590183;13060043;5573417;5594142:2;6842737;18654248</vt:lpwstr>
  </property>
  <property fmtid="{D5CDD505-2E9C-101B-9397-08002B2CF9AE}" pid="10" name="CITY">
    <vt:lpwstr>חי'</vt:lpwstr>
  </property>
  <property fmtid="{D5CDD505-2E9C-101B-9397-08002B2CF9AE}" pid="11" name="DATE">
    <vt:lpwstr>20160706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רון שפירא;אברהם אליקים;תמר נאות פרי</vt:lpwstr>
  </property>
  <property fmtid="{D5CDD505-2E9C-101B-9397-08002B2CF9AE}" pid="15" name="LAWLISTTMP1">
    <vt:lpwstr>70301/329.a.1;333;335.a.1;144.b;287;040i;40jc.b;045.a;40jc;058;040b</vt:lpwstr>
  </property>
  <property fmtid="{D5CDD505-2E9C-101B-9397-08002B2CF9AE}" pid="16" name="LAWYER">
    <vt:lpwstr>ואדים רושל ארבל עמיגה;ענאן גאנם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18488</vt:lpwstr>
  </property>
  <property fmtid="{D5CDD505-2E9C-101B-9397-08002B2CF9AE}" pid="23" name="NEWPARTB">
    <vt:lpwstr>12</vt:lpwstr>
  </property>
  <property fmtid="{D5CDD505-2E9C-101B-9397-08002B2CF9AE}" pid="24" name="NEWPARTC">
    <vt:lpwstr>15</vt:lpwstr>
  </property>
  <property fmtid="{D5CDD505-2E9C-101B-9397-08002B2CF9AE}" pid="25" name="NEWPROC">
    <vt:lpwstr>תפח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390020160706</vt:lpwstr>
  </property>
  <property fmtid="{D5CDD505-2E9C-101B-9397-08002B2CF9AE}" pid="35" name="TYPE_N_DATE">
    <vt:lpwstr>39020160706</vt:lpwstr>
  </property>
  <property fmtid="{D5CDD505-2E9C-101B-9397-08002B2CF9AE}" pid="36" name="VOLUME">
    <vt:lpwstr/>
  </property>
  <property fmtid="{D5CDD505-2E9C-101B-9397-08002B2CF9AE}" pid="37" name="WORDNUMPAGES">
    <vt:lpwstr>13</vt:lpwstr>
  </property>
</Properties>
</file>