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20524-05-12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חזן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95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655"/>
        <w:gridCol w:w="3282"/>
        <w:gridCol w:w="171"/>
      </w:tblGrid>
      <w:tr>
        <w:trPr>
          <w:trHeight w:val="295" w:hRule="atLeast"/>
        </w:trPr>
        <w:tc>
          <w:tcPr>
            <w:tcW w:w="8959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הרכב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גלעד </w:t>
            </w:r>
            <w:r>
              <w:rPr>
                <w:rFonts w:cs="Arial" w:ascii="Arial" w:hAnsi="Arial"/>
                <w:b/>
                <w:bCs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שרון נתנאל</w:t>
            </w:r>
            <w:bookmarkStart w:id="0" w:name="_GoBack"/>
            <w:bookmarkEnd w:id="0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851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ind w:end="0"/>
              <w:jc w:val="both"/>
              <w:rPr>
                <w:szCs w:val="26"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655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</w:p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מאשה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בוגדנוב</w:t>
            </w:r>
          </w:p>
        </w:tc>
        <w:tc>
          <w:tcPr>
            <w:tcW w:w="3282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1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655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snapToGrid w:val="false"/>
              <w:spacing w:lineRule="auto" w:line="240"/>
              <w:ind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  <w:p>
            <w:pPr>
              <w:pStyle w:val="Style13"/>
              <w:numPr>
                <w:ilvl w:val="0"/>
                <w:numId w:val="2"/>
              </w:numPr>
              <w:ind w:hanging="360" w:start="720"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</w:p>
          <w:p>
            <w:pPr>
              <w:pStyle w:val="Style13"/>
              <w:spacing w:lineRule="auto" w:line="240"/>
              <w:ind w:start="360"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  <w:tc>
          <w:tcPr>
            <w:tcW w:w="3282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1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655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חזן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058366345</w:t>
            </w:r>
          </w:p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וצח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נצר</w:t>
            </w:r>
          </w:p>
        </w:tc>
        <w:tc>
          <w:tcPr>
            <w:tcW w:w="3282" w:type="dxa"/>
            <w:tcBorders/>
            <w:tcMar>
              <w:start w:w="107" w:type="dxa"/>
              <w:end w:w="107" w:type="dxa"/>
            </w:tcMar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5" w:name="PsakDin"/>
            <w:bookmarkStart w:id="6" w:name="LawTable_End"/>
            <w:bookmarkStart w:id="7" w:name="PsakDin"/>
            <w:bookmarkStart w:id="8" w:name="LawTable_End"/>
            <w:bookmarkEnd w:id="7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9" w:name="ABSTRACT_START"/>
      <w:bookmarkEnd w:id="9"/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26.1.14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16.1.11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12"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בתמצית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20:15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רעייתו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מאקדחו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מקווה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23.11.11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ונכדים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שקבענו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והנה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מצפון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קדישא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ומתצהירי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וילדיו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מסתבר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ומעלה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לקהילה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תצהירי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מצמררים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הבחינות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כלכליים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רגשיים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שידעום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Cs w:val="28"/>
          <w:rtl w:val="true"/>
        </w:rPr>
        <w:t>"...</w:t>
      </w:r>
      <w:r>
        <w:rPr>
          <w:rFonts w:cs="Miria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בלבד</w:t>
      </w:r>
      <w:r>
        <w:rPr>
          <w:rFonts w:cs="Miriam"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נוסף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1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8065/11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עומר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עפיף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26.1.14</w:t>
      </w:r>
      <w:r>
        <w:rPr>
          <w:sz w:val="28"/>
          <w:szCs w:val="28"/>
          <w:rtl w:val="true"/>
        </w:rPr>
        <w:t xml:space="preserve">)), </w:t>
      </w:r>
      <w:r>
        <w:rPr>
          <w:sz w:val="28"/>
          <w:sz w:val="28"/>
          <w:szCs w:val="28"/>
          <w:rtl w:val="true"/>
        </w:rPr>
        <w:t>לאחרונה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לפיכך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ושלומו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התממש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קטלני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רכוש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ועוד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כבוגר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הרתיעוהו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שבעונשים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זיקנה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עפיף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Cs w:val="28"/>
          <w:rtl w:val="true"/>
        </w:rPr>
        <w:t xml:space="preserve">"... </w:t>
      </w:r>
      <w:r>
        <w:rPr>
          <w:rFonts w:cs="Miriam"/>
          <w:sz w:val="28"/>
          <w:sz w:val="28"/>
          <w:szCs w:val="28"/>
          <w:u w:val="single"/>
          <w:rtl w:val="true"/>
        </w:rPr>
        <w:t>ניתן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לשאול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אם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בכל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זאת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אין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עסקינן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באותו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מעשה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שכן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</w:t>
      </w:r>
      <w:r>
        <w:rPr>
          <w:rFonts w:cs="Miriam"/>
          <w:sz w:val="28"/>
          <w:sz w:val="28"/>
          <w:szCs w:val="28"/>
          <w:u w:val="single"/>
          <w:rtl w:val="true"/>
        </w:rPr>
        <w:t>אקדחים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שימשו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לעבירת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הרצח</w:t>
      </w:r>
      <w:r>
        <w:rPr>
          <w:rFonts w:cs="Miriam"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החלטנו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האלמנה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258,000</w:t>
      </w:r>
      <w:r>
        <w:rPr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</w:t>
      </w:r>
      <w:r>
        <w:rPr>
          <w:sz w:val="28"/>
          <w:sz w:val="28"/>
          <w:szCs w:val="28"/>
          <w:rtl w:val="true"/>
        </w:rPr>
        <w:t>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מהן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עבירה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2001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2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7033/04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יאיר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11.9.06</w:t>
      </w:r>
      <w:r>
        <w:rPr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2196/10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אגבריה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8.3.12</w:t>
      </w:r>
      <w:r>
        <w:rPr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1948/09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סבחה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23.4.12</w:t>
      </w:r>
      <w:r>
        <w:rPr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6968/09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30.8.12</w:t>
      </w:r>
      <w:r>
        <w:rPr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8704/09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באשה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11.11.12</w:t>
      </w:r>
      <w:r>
        <w:rPr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6385/11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בניטה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3.12.12</w:t>
      </w:r>
      <w:r>
        <w:rPr>
          <w:sz w:val="28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תצהירי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וילוו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שילדי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בוגרים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ומפרנסים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שולחן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לאלמנת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הידוע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לפיצויים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33"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ירוצו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חופף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ירצה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עולם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rtl w:val="true"/>
        </w:rPr>
        <w:t>מתקופת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תנוכה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התקופה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שוהה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17.4.12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לאלמנת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250,000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12.3.2015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וגזרנו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ימים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12.3.2014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אב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ד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פיש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שרון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נתנאל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20524-05-12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חזן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00"/>
      <w:numFmt w:val="bullet"/>
      <w:lvlText w:val="-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1835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inks/psika/?link=&#1506;&#1508;%208065/11" TargetMode="External"/><Relationship Id="rId16" Type="http://schemas.openxmlformats.org/officeDocument/2006/relationships/hyperlink" Target="http://www.nevo.co.il/law/70301/7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77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1835" TargetMode="External"/><Relationship Id="rId21" Type="http://schemas.openxmlformats.org/officeDocument/2006/relationships/hyperlink" Target="http://www.nevo.co.il/links/psika/?link=&#1506;&#1508;%207033/04" TargetMode="External"/><Relationship Id="rId22" Type="http://schemas.openxmlformats.org/officeDocument/2006/relationships/hyperlink" Target="http://www.nevo.co.il/links/psika/?link=&#1506;&#1508;%202196/10" TargetMode="External"/><Relationship Id="rId23" Type="http://schemas.openxmlformats.org/officeDocument/2006/relationships/hyperlink" Target="http://www.nevo.co.il/links/psika/?link=&#1506;&#1508;%201948/09" TargetMode="External"/><Relationship Id="rId24" Type="http://schemas.openxmlformats.org/officeDocument/2006/relationships/hyperlink" Target="http://www.nevo.co.il/links/psika/?link=&#1506;&#1508;%206968/09" TargetMode="External"/><Relationship Id="rId25" Type="http://schemas.openxmlformats.org/officeDocument/2006/relationships/hyperlink" Target="http://www.nevo.co.il/links/psika/?link=&#1506;&#1508;%208704/09" TargetMode="External"/><Relationship Id="rId26" Type="http://schemas.openxmlformats.org/officeDocument/2006/relationships/hyperlink" Target="http://www.nevo.co.il/links/psika/?link=&#1506;&#1508;%206385/11" TargetMode="External"/><Relationship Id="rId27" Type="http://schemas.openxmlformats.org/officeDocument/2006/relationships/hyperlink" Target="http://www.nevo.co.il/law/70301/7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77" TargetMode="External"/><Relationship Id="rId30" Type="http://schemas.openxmlformats.org/officeDocument/2006/relationships/hyperlink" Target="http://www.nevo.co.il/law/70301/300.a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7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2014-03-17T09:21:00Z</dcterms:created>
  <dc:creator> </dc:creator>
  <dc:description/>
  <cp:keywords/>
  <dc:language>en-IL</dc:language>
  <cp:lastModifiedBy>eli</cp:lastModifiedBy>
  <dcterms:modified xsi:type="dcterms:W3CDTF">2014-03-17T09:21:00Z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חזן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20140312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מ. גלעד;ד. פיש;ת. שרון נתנאל</vt:lpwstr>
  </property>
  <property fmtid="{D5CDD505-2E9C-101B-9397-08002B2CF9AE}" pid="13" name="LAWLISTTMP1">
    <vt:lpwstr>70301/300.a.2:2, 144.a:2, 144.b:2, 300.a, 077:5</vt:lpwstr>
  </property>
  <property fmtid="{D5CDD505-2E9C-101B-9397-08002B2CF9AE}" pid="14" name="LAWLISTTMP2">
    <vt:lpwstr>71835</vt:lpwstr>
  </property>
  <property fmtid="{D5CDD505-2E9C-101B-9397-08002B2CF9AE}" pid="15" name="LAWYER">
    <vt:lpwstr>מאשה בוגדנוב;רפי ליטן;צח נצר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20524</vt:lpwstr>
  </property>
  <property fmtid="{D5CDD505-2E9C-101B-9397-08002B2CF9AE}" pid="22" name="NEWPARTB">
    <vt:lpwstr>05</vt:lpwstr>
  </property>
  <property fmtid="{D5CDD505-2E9C-101B-9397-08002B2CF9AE}" pid="23" name="NEWPARTC">
    <vt:lpwstr>12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390020140312</vt:lpwstr>
  </property>
  <property fmtid="{D5CDD505-2E9C-101B-9397-08002B2CF9AE}" pid="34" name="TYPE_N_DATE">
    <vt:lpwstr>39020140312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