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8679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85"/>
        <w:gridCol w:w="3494"/>
      </w:tblGrid>
      <w:tr>
        <w:trPr>
          <w:trHeight w:val="418" w:hRule="exact"/>
        </w:trPr>
        <w:tc>
          <w:tcPr>
            <w:tcW w:w="8679" w:type="dxa"/>
            <w:gridSpan w:val="2"/>
            <w:tcBorders/>
          </w:tcPr>
          <w:p>
            <w:pPr>
              <w:pStyle w:val="Header"/>
              <w:spacing w:lineRule="auto" w:line="360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בית המשפט מחוזי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לנוער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בחיפה</w:t>
            </w:r>
          </w:p>
        </w:tc>
      </w:tr>
      <w:tr>
        <w:trPr>
          <w:trHeight w:val="337" w:hRule="atLeast"/>
        </w:trPr>
        <w:tc>
          <w:tcPr>
            <w:tcW w:w="5185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תפ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21643-02-11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פלוני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</w:p>
        </w:tc>
        <w:tc>
          <w:tcPr>
            <w:tcW w:w="3494" w:type="dxa"/>
            <w:tcBorders/>
          </w:tcPr>
          <w:p>
            <w:pPr>
              <w:pStyle w:val="Header"/>
              <w:snapToGrid w:val="false"/>
              <w:spacing w:lineRule="auto" w:line="360"/>
              <w:ind w:end="0"/>
              <w:jc w:val="end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073"/>
        <w:gridCol w:w="190"/>
        <w:gridCol w:w="5557"/>
      </w:tblGrid>
      <w:tr>
        <w:trPr>
          <w:trHeight w:val="295" w:hRule="atLeast"/>
        </w:trPr>
        <w:tc>
          <w:tcPr>
            <w:tcW w:w="307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פני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כב</w:t>
            </w:r>
            <w:r>
              <w:rPr>
                <w:rFonts w:cs="Arial" w:ascii="Arial" w:hAnsi="Arial"/>
                <w:b/>
                <w:bCs/>
                <w:rtl w:val="true"/>
              </w:rPr>
              <w:t>'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הרכב השופטים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5747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סגן הנשיאה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יוסף אלרון </w:t>
            </w:r>
            <w:r>
              <w:rPr>
                <w:rFonts w:cs="Arial" w:ascii="Arial" w:hAnsi="Arial"/>
                <w:b/>
                <w:bCs/>
                <w:rtl w:val="true"/>
              </w:rPr>
              <w:t>[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  <w:r>
              <w:rPr>
                <w:rFonts w:cs="Arial" w:ascii="Arial" w:hAnsi="Arial"/>
                <w:b/>
                <w:bCs/>
                <w:rtl w:val="true"/>
              </w:rPr>
              <w:t>]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משה גלעד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מנחם רניאל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3263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Arial" w:hAnsi="Arial" w:cs="Arial"/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5557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מדינת ישראל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  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tabs>
                <w:tab w:val="clear" w:pos="720"/>
                <w:tab w:val="left" w:pos="3414" w:leader="none"/>
                <w:tab w:val="center" w:pos="4302" w:leader="none"/>
              </w:tabs>
              <w:spacing w:lineRule="auto" w:line="360"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rtl w:val="true"/>
              </w:rPr>
              <w:tab/>
              <w:tab/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3263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הנאשמים</w:t>
            </w:r>
          </w:p>
        </w:tc>
        <w:tc>
          <w:tcPr>
            <w:tcW w:w="5557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ind w:hanging="360" w:start="720"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פלוני </w:t>
            </w:r>
          </w:p>
          <w:p>
            <w:pPr>
              <w:pStyle w:val="Normal"/>
              <w:numPr>
                <w:ilvl w:val="0"/>
                <w:numId w:val="2"/>
              </w:numPr>
              <w:ind w:hanging="360" w:start="720"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cs="Arial" w:ascii="Arial" w:hAnsi="Arial"/>
                <w:b/>
                <w:bCs/>
                <w:rtl w:val="true"/>
              </w:rPr>
              <w:t>–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נדון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היה קטין בעת 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ומשכך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אנו מתירים את פרסום גזר הדין למעט שם הנאשמים או פרטים העלולים להביא לזיהויים</w:t>
      </w:r>
      <w:r>
        <w:rPr>
          <w:rFonts w:cs="Arial" w:ascii="Arial" w:hAnsi="Arial"/>
          <w:rtl w:val="true"/>
        </w:rPr>
        <w:t>.</w:t>
      </w:r>
      <w:bookmarkStart w:id="2" w:name="LawTable"/>
      <w:bookmarkEnd w:id="2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שפיטה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ענישה ודרכי טיפול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1971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3" w:name="LawTable_End"/>
      <w:bookmarkStart w:id="4" w:name="LawTable_End"/>
      <w:bookmarkEnd w:id="4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5" w:name="PsakDin"/>
      <w:bookmarkEnd w:id="5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6" w:name="PsakDin"/>
      <w:bookmarkStart w:id="7" w:name="PsakDin"/>
      <w:bookmarkEnd w:id="7"/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מבוא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8" w:name="ABSTRACT_START"/>
      <w:bookmarkEnd w:id="8"/>
      <w:r>
        <w:rPr>
          <w:rFonts w:ascii="Arial" w:hAnsi="Arial" w:cs="Arial"/>
          <w:rtl w:val="true"/>
        </w:rPr>
        <w:t>בשל היות הנאשם קטין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בתום שמיעת הראיות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קבענו בהכרעת הדין כי ביצע את העבירות של רצח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קשירת קשר לביצוע פשע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שוד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נשיאת נשק והחזקתו שלא כדין ושוד מזויין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עבירות לפי סעיפים</w:t>
      </w:r>
      <w:r>
        <w:rPr>
          <w:rFonts w:cs="Arial" w:ascii="Arial" w:hAnsi="Arial"/>
          <w:rtl w:val="true"/>
        </w:rPr>
        <w:t xml:space="preserve">, </w:t>
      </w:r>
      <w:hyperlink r:id="rId14">
        <w:r>
          <w:rPr>
            <w:rStyle w:val="Hyperlink"/>
            <w:rFonts w:cs="Arial" w:ascii="Arial" w:hAnsi="Arial"/>
            <w:color w:val="0000FF"/>
            <w:u w:val="single"/>
          </w:rPr>
          <w:t>300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ו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 (</w:t>
        </w:r>
        <w:r>
          <w:rPr>
            <w:rStyle w:val="Hyperlink"/>
            <w:rFonts w:cs="Arial" w:ascii="Arial" w:hAnsi="Arial"/>
            <w:color w:val="0000FF"/>
            <w:u w:val="single"/>
          </w:rPr>
          <w:t>3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+ 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29</w:t>
        </w:r>
      </w:hyperlink>
      <w:r>
        <w:rPr>
          <w:rFonts w:cs="Arial" w:ascii="Arial" w:hAnsi="Arial"/>
          <w:rtl w:val="true"/>
        </w:rPr>
        <w:t xml:space="preserve">, </w:t>
      </w:r>
      <w:hyperlink r:id="rId16">
        <w:r>
          <w:rPr>
            <w:rStyle w:val="Hyperlink"/>
            <w:rFonts w:cs="Arial" w:ascii="Arial" w:hAnsi="Arial"/>
            <w:color w:val="0000FF"/>
            <w:u w:val="single"/>
          </w:rPr>
          <w:t>499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),</w:t>
        </w:r>
      </w:hyperlink>
      <w:r>
        <w:rPr>
          <w:rFonts w:cs="Arial" w:ascii="Arial" w:hAnsi="Arial"/>
          <w:rtl w:val="true"/>
        </w:rPr>
        <w:t xml:space="preserve"> </w:t>
      </w:r>
      <w:hyperlink r:id="rId17"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ו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 +</w:t>
        </w:r>
      </w:hyperlink>
      <w:r>
        <w:rPr>
          <w:rFonts w:cs="Arial" w:ascii="Arial" w:hAnsi="Arial"/>
          <w:rtl w:val="true"/>
        </w:rPr>
        <w:t xml:space="preserve"> 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hyperlink r:id="rId19">
        <w:r>
          <w:rPr>
            <w:rStyle w:val="Hyperlink"/>
            <w:rFonts w:cs="Arial" w:ascii="Arial" w:hAnsi="Arial"/>
            <w:color w:val="0000FF"/>
            <w:u w:val="single"/>
          </w:rPr>
          <w:t>402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ו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+ 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1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>.</w:t>
      </w:r>
      <w:bookmarkStart w:id="9" w:name="ABSTRACT_END"/>
      <w:bookmarkEnd w:id="9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הכרעת הדין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 נשוב ונסקור את מכלול הראיות שפורטו בהרחבה בהכרעת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ובתמצית בלבד נציין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נקבע שביום </w:t>
      </w:r>
      <w:r>
        <w:rPr>
          <w:rFonts w:cs="Arial" w:ascii="Arial" w:hAnsi="Arial"/>
        </w:rPr>
        <w:t>05/12/10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קשרו הנאשם וע</w:t>
      </w:r>
      <w:r>
        <w:rPr>
          <w:rFonts w:cs="Arial" w:ascii="Arial" w:hAnsi="Arial"/>
          <w:rtl w:val="true"/>
        </w:rPr>
        <w:t>'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Miriam" w:ascii="Arial" w:hAnsi="Arial"/>
          <w:rtl w:val="true"/>
        </w:rPr>
        <w:t>"</w:t>
      </w:r>
      <w:r>
        <w:rPr>
          <w:rFonts w:ascii="Arial" w:hAnsi="Arial" w:cs="Miriam"/>
          <w:rtl w:val="true"/>
        </w:rPr>
        <w:t>ע</w:t>
      </w:r>
      <w:r>
        <w:rPr>
          <w:rFonts w:cs="Miriam" w:ascii="Arial" w:hAnsi="Arial"/>
          <w:rtl w:val="true"/>
        </w:rPr>
        <w:t>'"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קשר לבצע שוד בחנות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סטופ מרקט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באחד הכפרים ולצורך כך הצטיידו השניים בשני אקדחים אותם נשאו והחזיקו בלא רשות על פי דין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במועד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סמוך לשעה </w:t>
      </w:r>
      <w:r>
        <w:rPr>
          <w:rFonts w:cs="Arial" w:ascii="Arial" w:hAnsi="Arial"/>
        </w:rPr>
        <w:t>01:00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הגיעו לחנות בה עבד באותה עת ריאד בן אחמד כיאל ז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1987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Miriam" w:ascii="Arial" w:hAnsi="Arial"/>
          <w:rtl w:val="true"/>
        </w:rPr>
        <w:t>"</w:t>
      </w:r>
      <w:r>
        <w:rPr>
          <w:rFonts w:ascii="Arial" w:hAnsi="Arial" w:cs="Miriam"/>
          <w:rtl w:val="true"/>
        </w:rPr>
        <w:t>המנוח</w:t>
      </w:r>
      <w:r>
        <w:rPr>
          <w:rFonts w:cs="Miriam" w:ascii="Arial" w:hAnsi="Arial"/>
          <w:rtl w:val="true"/>
        </w:rPr>
        <w:t>"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השניים נכנסו לחנות כשבידיהם אקדחים ודלי שמצאו בקרבת החנות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הניחו את הדלי על השולחן שעליו הייתה הקופה ומאחוריו עמד המנוח ובאיומי אקדח דרשו ממנו לשים את הכסף שברשותו בתוך הדלי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בשלב מסויים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בעוד אחד הנאשמים מנסה לעקור את הקופה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תפס ע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את המנוח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ובאיומי אקדח הובילו למחסן המשקאות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בין השניים התפתח מאבק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כשבמהלכו הם נכנסו למחסן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הגיע אף הוא למחסן ובשלב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ירו הנאשמים במנוח והמשיכו וירו בו גם כאשר ניסה להימלט מהמחסן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 זאת במטרה להמיתו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להקל על ביצוע השוד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נטלו את שללם ונמלטו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שלושה מהקליעים שירו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פגעו במנוח וגרמו למותו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לאחר שקבענו כי הנאשם ביצע את העבירות המיוחסות לו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הורינו לשירות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מפאת גילו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להכין תסקיר בעניינו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תסקיר שירות המבחן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קצין המבחן לנוער פירט בהרחבה את הרקע האישי והמשפחתי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ובהתייחס למעורבותו בעבירות נשוא הכרעת הדין צויין כי הוא מכחיש את מעורבותו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Miriam"/>
        </w:rPr>
      </w:pPr>
      <w:r>
        <w:rPr>
          <w:rFonts w:ascii="Arial" w:hAnsi="Arial" w:cs="Arial"/>
          <w:rtl w:val="true"/>
        </w:rPr>
        <w:t>עוד צויין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מהקשר של שירות המבחן עם הנאשם ולפי ההערכה הפסיכולוגית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עלו גורמי סיכון רבים הנגזרים מהעבירה החמורה ביותר המיוחסת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וממצאי הבדיקה הפסיכולוגית מצביעים על היותו נער </w:t>
      </w:r>
      <w:r>
        <w:rPr>
          <w:rFonts w:cs="Miriam" w:ascii="Arial" w:hAnsi="Arial"/>
          <w:rtl w:val="true"/>
        </w:rPr>
        <w:t>"</w:t>
      </w:r>
      <w:r>
        <w:rPr>
          <w:rFonts w:ascii="Arial" w:hAnsi="Arial" w:cs="Miriam"/>
          <w:rtl w:val="true"/>
        </w:rPr>
        <w:t>עם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רמת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ארגון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אישיות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גבולית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הנושאת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מרכיבים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אנטי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סוציאליים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וקיים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קושי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רב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ביכולת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שלו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לשלוט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במעשה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התוקפנות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והאימפולסיביות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יתר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בתפקוד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שלו</w:t>
      </w:r>
      <w:r>
        <w:rPr>
          <w:rFonts w:cs="Miriam" w:ascii="Arial" w:hAnsi="Arial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הצביע קצין המבחן על גורמים המצביעים על סיכויי שיקום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כדוגמת הקשר עם משפחתו והנכונות לסייע לו להשתקם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השתתפותו בתוכניות שיקום בכלא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והיותו מגלה רצון לנהל אורח חיים תקין בעתיד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לאור העבירות החמורות אשר נקבע כי ביצע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נמנע שירות המבחן מהמלצה טיפולית בעניינו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ד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ראיות לעונש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במסגרת הראיות לעונש מטעם התביעה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העידה אימו של המנוח ובדבריה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הוקראו מהכתב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תארה בכאב רב את הטרגדיה שפקדה אותה ואת משפחתה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תוצאת רציחתו של בנה ב</w:t>
      </w:r>
      <w:r>
        <w:rPr>
          <w:rFonts w:cs="Miriam" w:ascii="Arial" w:hAnsi="Arial"/>
          <w:rtl w:val="true"/>
        </w:rPr>
        <w:t>"</w:t>
      </w:r>
      <w:r>
        <w:rPr>
          <w:rFonts w:ascii="Arial" w:hAnsi="Arial" w:cs="Miriam"/>
          <w:rtl w:val="true"/>
        </w:rPr>
        <w:t>דם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קר</w:t>
      </w:r>
      <w:r>
        <w:rPr>
          <w:rFonts w:cs="Miriam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האם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באצילות נפש ובדברים היוצאים מהלב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ביטאה את שחשה עם פרסומה ברבים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ללא היתר בית המשפט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של קלטת מצלמת האבטחה שתיעדה את האירוע ובה נצפה המנוח ברגעיו האחרונים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מעבר לכאבה הפרטי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ביטאה האם את תחושת המיאוס וחוסר האונים למול תופעת האלימות הגוברת בחברה הישראלית ו</w:t>
      </w:r>
      <w:r>
        <w:rPr>
          <w:rFonts w:cs="Miriam" w:ascii="Arial" w:hAnsi="Arial"/>
          <w:rtl w:val="true"/>
        </w:rPr>
        <w:t>"</w:t>
      </w:r>
      <w:r>
        <w:rPr>
          <w:rFonts w:ascii="Arial" w:hAnsi="Arial" w:cs="Miriam"/>
          <w:rtl w:val="true"/>
        </w:rPr>
        <w:t>במגזר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הערבי</w:t>
      </w:r>
      <w:r>
        <w:rPr>
          <w:rFonts w:cs="Miriam" w:ascii="Arial" w:hAnsi="Arial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בדבריה ציינה</w:t>
      </w:r>
      <w:r>
        <w:rPr>
          <w:rFonts w:cs="Arial" w:ascii="Arial" w:hAnsi="Arial"/>
          <w:rtl w:val="true"/>
        </w:rPr>
        <w:t>: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46" w:end="720"/>
        <w:jc w:val="both"/>
        <w:rPr/>
      </w:pPr>
      <w:r>
        <w:rPr>
          <w:rFonts w:cs="Miriam" w:ascii="Arial" w:hAnsi="Arial"/>
          <w:rtl w:val="true"/>
        </w:rPr>
        <w:t xml:space="preserve">"[...] </w:t>
      </w:r>
      <w:r>
        <w:rPr>
          <w:rFonts w:ascii="Arial" w:hAnsi="Arial" w:cs="Miriam"/>
          <w:rtl w:val="true"/>
        </w:rPr>
        <w:t>הרצח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הפך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לתופעה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ומגפה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מתפשטת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לאחרונה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וגורמת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לרצח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חפים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מפשע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והרס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משפחות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ואיום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מרכזי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מרקם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החיים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בחברה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ובכפר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שלי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במיוחד</w:t>
      </w:r>
      <w:r>
        <w:rPr>
          <w:rFonts w:cs="Miriam" w:ascii="Arial" w:hAnsi="Arial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האם  ביקשה למצות את הדין עם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ה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טיעוני באי כח הצדדים לעונש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באת כח המאשימה בטיעוניה לעונש בכתב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ובעל 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הפנתה תחילה לתמצית המסכת העובדתית בהחלטות בית המשפט בהן נקבע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וע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ביצעו את העבירות שיוחסו להם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בכלל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עבירת הרצח והשוד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עוד הפנתה בדבריה לסרטון מצלמות האבטחה המתעד </w:t>
      </w:r>
      <w:r>
        <w:rPr>
          <w:rFonts w:cs="Miriam" w:ascii="Arial" w:hAnsi="Arial"/>
          <w:rtl w:val="true"/>
        </w:rPr>
        <w:t>"</w:t>
      </w:r>
      <w:r>
        <w:rPr>
          <w:rFonts w:ascii="Arial" w:hAnsi="Arial" w:cs="Miriam"/>
          <w:rtl w:val="true"/>
        </w:rPr>
        <w:t>תיעוד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מצמרר</w:t>
      </w:r>
      <w:r>
        <w:rPr>
          <w:rFonts w:cs="Miriam" w:ascii="Arial" w:hAnsi="Arial"/>
          <w:rtl w:val="true"/>
        </w:rPr>
        <w:t>"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של הדקות האחרונות בחייו של המנוח ולירי חסר הרחמים במנוח מעשה אותו הגדירה </w:t>
      </w:r>
      <w:r>
        <w:rPr>
          <w:rFonts w:cs="Miriam" w:ascii="Arial" w:hAnsi="Arial"/>
          <w:rtl w:val="true"/>
        </w:rPr>
        <w:t>"</w:t>
      </w:r>
      <w:r>
        <w:rPr>
          <w:rFonts w:ascii="Arial" w:hAnsi="Arial" w:cs="Miriam"/>
          <w:rtl w:val="true"/>
        </w:rPr>
        <w:t>רצח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רצח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לא</w:t>
      </w:r>
      <w:r>
        <w:rPr>
          <w:rFonts w:cs="Miriam" w:ascii="Arial" w:hAnsi="Arial"/>
          <w:rtl w:val="true"/>
        </w:rPr>
        <w:t>"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באת כח המאשימה ביקשה לאבחן את עניינו של הנאשם דנן מעניינו של שותפו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 xml:space="preserve">', </w:t>
      </w:r>
      <w:r>
        <w:rPr>
          <w:rFonts w:ascii="Arial" w:hAnsi="Arial" w:cs="Arial"/>
          <w:rtl w:val="true"/>
        </w:rPr>
        <w:t xml:space="preserve">בציינה כי זה האחרון צעיר מהנאשם בשנה והיה מתחת לגיל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בעת ביצוע העבירות אשר בביצוען הודה לאחר תום פרשת התביעה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בניגוד אליו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ניהל את משפטו עד תום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אף שזו זכותו המלאה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 ניתן </w:t>
      </w:r>
      <w:r>
        <w:rPr>
          <w:rFonts w:cs="Miriam" w:ascii="Arial" w:hAnsi="Arial"/>
          <w:rtl w:val="true"/>
        </w:rPr>
        <w:t>"</w:t>
      </w:r>
      <w:r>
        <w:rPr>
          <w:rFonts w:ascii="Arial" w:hAnsi="Arial" w:cs="Miriam"/>
          <w:rtl w:val="true"/>
        </w:rPr>
        <w:t>לזקוף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זאת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לזכותו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ואף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ניתן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לזקוף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לזכותו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חרטה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ונטילת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אחריות</w:t>
      </w:r>
      <w:r>
        <w:rPr>
          <w:rFonts w:cs="Miriam" w:ascii="Arial" w:hAnsi="Arial"/>
          <w:rtl w:val="true"/>
        </w:rPr>
        <w:t>"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עוד ייחדה התובעת דברים למנוח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בציינה כי היה בן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בחור צעיר שביקש לעבוד לפרנסתו ולשם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עבד בשעות הלילה בחנות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בהותירו אחריו משפחה כואבת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הורים ואחרים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הספיק לחיות את חייו ונקטל בטרם עת ללא כל סיבה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שהנאשם ושותפו החליטו לשדוד חנות ולעשות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עם שני כלי נשק אשר עד היום טרם הוסגרו למשטרה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בסיכומו של דבר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ביקשה באת כח המאשימה לגזור על הנאשם עונש מאסר עולם תוך שציינה כי אינה מתעלמת מהיותו קטין בעת 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cs="Miriam" w:ascii="Arial" w:hAnsi="Arial"/>
          <w:rtl w:val="true"/>
        </w:rPr>
        <w:t>"</w:t>
      </w:r>
      <w:r>
        <w:rPr>
          <w:rFonts w:ascii="Arial" w:hAnsi="Arial" w:cs="Miriam"/>
          <w:rtl w:val="true"/>
        </w:rPr>
        <w:t>קטין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סף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הבגרות</w:t>
      </w:r>
      <w:r>
        <w:rPr>
          <w:rFonts w:cs="Miriam" w:ascii="Arial" w:hAnsi="Arial"/>
          <w:rtl w:val="true"/>
        </w:rPr>
        <w:t>"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ומהיותו כבן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בעת ביצוע העבירות והיום הוא כבר בגיר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עוד ביקשה לגזור על הנאשם עונש נפרד ומשמעותי בגין עבירות השוד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הנשק ועבירת הקשר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במצטבר לעונש בגין רציחת המנוח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בפתח טיעוניו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לגזור על הנאשם עונש זהה לזה שנגזר על שותפו ע</w:t>
      </w:r>
      <w:r>
        <w:rPr>
          <w:rFonts w:cs="Arial" w:ascii="Arial" w:hAnsi="Arial"/>
          <w:rtl w:val="true"/>
        </w:rPr>
        <w:t xml:space="preserve">', </w:t>
      </w:r>
      <w:r>
        <w:rPr>
          <w:rFonts w:ascii="Arial" w:hAnsi="Arial" w:cs="Arial"/>
          <w:rtl w:val="true"/>
        </w:rPr>
        <w:t>תוך שהפנה לגילו הצעיר והדגיש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אין לחובתו הרשעות קודמות וזו לו הפעם הראשונה שבה הוא עומד לדין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לגישת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קיימת השקה בין מעשי שני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למעט העובדה שנאשם זה ניהל את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תיקו עד תום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באופן ענייני ככל שניתן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לטענת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בניגוד לגישת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בטיעוניה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אזי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אם לבית המשפט נתונה הסמכות להטיל מאסר עולם על קטינים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הרי שעל פי האמור בפסיקת בית המשפט העליון </w:t>
      </w:r>
      <w:r>
        <w:rPr>
          <w:rFonts w:cs="Miriam" w:ascii="Arial" w:hAnsi="Arial"/>
          <w:rtl w:val="true"/>
        </w:rPr>
        <w:t>"</w:t>
      </w:r>
      <w:r>
        <w:rPr>
          <w:rFonts w:ascii="Arial" w:hAnsi="Arial" w:cs="Miriam"/>
          <w:rtl w:val="true"/>
        </w:rPr>
        <w:t>דרושות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נסיבות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מיוחדות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שבית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המשפט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יעשה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שימוש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בסמכות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זו</w:t>
      </w:r>
      <w:r>
        <w:rPr>
          <w:rFonts w:cs="Miriam" w:ascii="Arial" w:hAnsi="Arial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עוד הפנה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לתסקיר שירות המבחן תוך שהצביע על היבטים שונים בתסקיר אשר ניתן לראותם לשיטתו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כשיקולים לקולא ובכללם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סיכויי השיקום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השתתפותו בתוכניות שיקום בכלא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הבעת הרצון לנהל אורח חיים תקין בעתיד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וכלשונו </w:t>
      </w:r>
      <w:r>
        <w:rPr>
          <w:rFonts w:cs="Miriam" w:ascii="Arial" w:hAnsi="Arial"/>
          <w:rtl w:val="true"/>
        </w:rPr>
        <w:t>"</w:t>
      </w:r>
      <w:r>
        <w:rPr>
          <w:rFonts w:ascii="Arial" w:hAnsi="Arial" w:cs="Miriam"/>
          <w:rtl w:val="true"/>
        </w:rPr>
        <w:t>נראה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שאם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הוא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ינצל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נכון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השהות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בכלא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ניתן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יהיה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לשקם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חייו</w:t>
      </w:r>
      <w:r>
        <w:rPr>
          <w:rFonts w:cs="Miriam" w:ascii="Arial" w:hAnsi="Arial"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161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שור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לפרו</w:t>
      </w:r>
      <w:r>
        <w:rPr>
          <w:rFonts w:cs="Arial" w:ascii="Arial" w:hAnsi="Arial"/>
          <w:rtl w:val="true"/>
        </w:rPr>
        <w:t>').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משנשאל הנאשם אם ברצונו לומר דבר מה השיב</w:t>
      </w:r>
      <w:r>
        <w:rPr>
          <w:rFonts w:cs="Arial" w:ascii="Arial" w:hAnsi="Arial"/>
          <w:rtl w:val="true"/>
        </w:rPr>
        <w:t xml:space="preserve">: </w:t>
      </w:r>
      <w:r>
        <w:rPr>
          <w:rFonts w:cs="Miriam" w:ascii="Arial" w:hAnsi="Arial"/>
          <w:rtl w:val="true"/>
        </w:rPr>
        <w:t xml:space="preserve">"... </w:t>
      </w:r>
      <w:r>
        <w:rPr>
          <w:rFonts w:ascii="Arial" w:hAnsi="Arial" w:cs="Miriam"/>
          <w:rtl w:val="true"/>
        </w:rPr>
        <w:t>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עשיתי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כלום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ע</w:t>
      </w:r>
      <w:r>
        <w:rPr>
          <w:rFonts w:cs="Miriam" w:ascii="Arial" w:hAnsi="Arial"/>
          <w:rtl w:val="true"/>
        </w:rPr>
        <w:t>'</w:t>
      </w:r>
      <w:r>
        <w:rPr>
          <w:rFonts w:cs="Miriam" w:ascii="Arial" w:hAnsi="Arial"/>
          <w:rtl w:val="true"/>
        </w:rPr>
        <w:t xml:space="preserve"> </w:t>
      </w:r>
      <w:r>
        <w:rPr>
          <w:rFonts w:ascii="Arial" w:hAnsi="Arial" w:cs="Miriam"/>
          <w:rtl w:val="true"/>
        </w:rPr>
        <w:t>גם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אמר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שאני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הייתי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איתו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אלוהים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והוא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רואה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הכול</w:t>
      </w:r>
      <w:r>
        <w:rPr>
          <w:rFonts w:cs="Miriam" w:ascii="Arial" w:hAnsi="Arial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ו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דיון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בגזר דינו של ע</w:t>
      </w:r>
      <w:r>
        <w:rPr>
          <w:rFonts w:cs="Arial" w:ascii="Arial" w:hAnsi="Arial"/>
          <w:rtl w:val="true"/>
        </w:rPr>
        <w:t xml:space="preserve">', </w:t>
      </w:r>
      <w:r>
        <w:rPr>
          <w:rFonts w:ascii="Arial" w:hAnsi="Arial" w:cs="Arial"/>
          <w:rtl w:val="true"/>
        </w:rPr>
        <w:t>שותפו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עמדנו על עיקרון קדושת החיים  אשר הוכר בפסיקה כערך עליון המהווה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שיקול בענישה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color w:val="000000"/>
          <w:rtl w:val="true"/>
        </w:rPr>
        <w:t>ע</w:t>
      </w:r>
      <w:r>
        <w:rPr>
          <w:rFonts w:cs="Arial" w:ascii="Arial" w:hAnsi="Arial"/>
          <w:color w:val="000000"/>
          <w:rtl w:val="true"/>
        </w:rPr>
        <w:t>"</w:t>
      </w:r>
      <w:r>
        <w:rPr>
          <w:rFonts w:ascii="Arial" w:hAnsi="Arial" w:cs="Arial"/>
          <w:color w:val="000000"/>
          <w:rtl w:val="true"/>
        </w:rPr>
        <w:t xml:space="preserve">פ </w:t>
      </w:r>
      <w:hyperlink r:id="rId22">
        <w:r>
          <w:rPr>
            <w:rStyle w:val="Hyperlink"/>
            <w:rFonts w:cs="Arial" w:ascii="Arial" w:hAnsi="Arial"/>
            <w:color w:val="0000FF"/>
            <w:u w:val="single"/>
          </w:rPr>
          <w:t>449/95</w:t>
        </w:r>
      </w:hyperlink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שחר חדד נ</w:t>
      </w:r>
      <w:r>
        <w:rPr>
          <w:rFonts w:cs="Arial" w:ascii="Arial" w:hAnsi="Arial"/>
          <w:color w:val="000000"/>
          <w:rtl w:val="true"/>
        </w:rPr>
        <w:t xml:space="preserve">' </w:t>
      </w:r>
      <w:r>
        <w:rPr>
          <w:rFonts w:ascii="Arial" w:hAnsi="Arial" w:cs="Arial"/>
          <w:color w:val="000000"/>
          <w:rtl w:val="true"/>
        </w:rPr>
        <w:t>מדינת ישראל פד</w:t>
      </w:r>
      <w:r>
        <w:rPr>
          <w:rFonts w:cs="Arial" w:ascii="Arial" w:hAnsi="Arial"/>
          <w:color w:val="000000"/>
          <w:rtl w:val="true"/>
        </w:rPr>
        <w:t>"</w:t>
      </w:r>
      <w:r>
        <w:rPr>
          <w:rFonts w:ascii="Arial" w:hAnsi="Arial" w:cs="Arial"/>
          <w:color w:val="000000"/>
          <w:rtl w:val="true"/>
        </w:rPr>
        <w:t>י נ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752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1996</w:t>
      </w:r>
      <w:r>
        <w:rPr>
          <w:rFonts w:cs="Arial" w:ascii="Arial" w:hAnsi="Arial"/>
          <w:rtl w:val="true"/>
        </w:rPr>
        <w:t>)].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עוד ציינו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לנוכח חשיבות ערך קדושת החיים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ל נקבע לעבירת הרצח </w:t>
      </w:r>
      <w:r>
        <w:rPr>
          <w:rFonts w:cs="Miriam" w:ascii="Arial" w:hAnsi="Arial"/>
          <w:rtl w:val="true"/>
        </w:rPr>
        <w:t>"</w:t>
      </w:r>
      <w:r>
        <w:rPr>
          <w:rFonts w:ascii="Arial" w:hAnsi="Arial" w:cs="Miriam"/>
          <w:rtl w:val="true"/>
        </w:rPr>
        <w:t>עונש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מאסר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עולם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ועונש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זה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בלבד</w:t>
      </w:r>
      <w:r>
        <w:rPr>
          <w:rFonts w:cs="Miriam" w:ascii="Arial" w:hAnsi="Arial"/>
          <w:rtl w:val="true"/>
        </w:rPr>
        <w:t xml:space="preserve">" </w:t>
      </w:r>
      <w:r>
        <w:rPr>
          <w:rFonts w:cs="Arial" w:ascii="Arial" w:hAnsi="Arial"/>
          <w:rtl w:val="true"/>
        </w:rPr>
        <w:t>(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300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4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יחד עם האמור לעיל ציינו כי בעניינם של קטינים אין חובה להטיל על מי שהיה קטין בעת ביצוע הרצח עונש של מאסר עולם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כאמור בהוראת 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6">
        <w:r>
          <w:rPr>
            <w:rStyle w:val="Hyperlink"/>
            <w:rFonts w:ascii="Arial" w:hAnsi="Arial" w:cs="Arial"/>
            <w:rtl w:val="true"/>
          </w:rPr>
          <w:t xml:space="preserve">חוק הנוער 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שפיטה</w:t>
        </w:r>
        <w:r>
          <w:rPr>
            <w:rStyle w:val="Hyperlink"/>
            <w:rFonts w:cs="Arial" w:ascii="Arial" w:hAnsi="Arial"/>
            <w:rtl w:val="true"/>
          </w:rPr>
          <w:t xml:space="preserve">, </w:t>
        </w:r>
        <w:r>
          <w:rPr>
            <w:rStyle w:val="Hyperlink"/>
            <w:rFonts w:ascii="Arial" w:hAnsi="Arial" w:cs="Arial"/>
            <w:rtl w:val="true"/>
          </w:rPr>
          <w:t>ענישה ודרכי טיפול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א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למעשה הדבר נתון לשיקול דעת בית המשפט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בעניינו של ע</w:t>
      </w:r>
      <w:r>
        <w:rPr>
          <w:rFonts w:cs="Arial" w:ascii="Arial" w:hAnsi="Arial"/>
          <w:rtl w:val="true"/>
        </w:rPr>
        <w:t xml:space="preserve">', </w:t>
      </w:r>
      <w:r>
        <w:rPr>
          <w:rFonts w:ascii="Arial" w:hAnsi="Arial" w:cs="Arial"/>
          <w:rtl w:val="true"/>
        </w:rPr>
        <w:t>החלטנו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הודייתו וקבלת תסקיר שירות המבחן בעניינו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להרשיעו תוך שציינו כי בא כוחו לא טען מאומה כנגד הרשעתו בדין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אף היותו קטין ובדין עשה כך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הבהרנו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גם קטין שביצע עבירה כה חמורה כעבירת הרצח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דינו להיות מורשע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קל וחומר כשנתלוו אליה עבירות חמורות אחרות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גזירה שווה ניתן לגזור בעניינו של הנאשם שבפנינו אשר גם בא כוחו לא טען דבר כנגד הרשעתו בדין ואף הוא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בדין עשה 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בנסיבות העניין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אנו מחליטים להרשיעו בעבירות אותן נקבע כי ביצע בהכרעת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כמפורט בפרק המבוא של גזר דין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רצח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קשירת קשר לבצע פשע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שוד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נשיאת נשק והחזקתו שלא כדין ושוד מזויין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על שותפו של הנאשם גזרנו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 בגין הרשעתו בעבירה של רצח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בגין הרשעתו בעבירות של שוד מזויין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עבירות בנשק וקשירת קשר לביצוע 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מתוכן שנתיים מאסר לריצוי במצטבר לעונש של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המאסר בפועל שנגזרו עליו בגין עבירת הרצח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ושנתיים מאסר שירוצו בחופף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שסה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יהא עליו לרצות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לנגד עינינו עמדו מכלול השיקולים על פי דין ועל פי ההלכה הפסוקה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אותם עלינו לשקול בגמרת  דינו של קטין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לרבות בעבירת הרצח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מחד גיסא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ניצבת החומרה שיש לראות בעבירת הרצח ונטילת חייו של האחר ומאידך גיסא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ניצב הצורך במתן משקל ראוי לשיקול השיקום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המהווה שיקול מרכזי בין שיקולי הענישה של קטין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ציינו ואנו מציינים גם כאן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ההיבט השיקומי אינו חזות הכל והוא מהווה רק חלק ממכלול השיקולים להם נדרש בית המשפט בגוזרו את דינו של קטין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נכון עשתה באת כח המאשימה בהתמקדה בהבדלים השונים שבין עניינו של הנאשם שבפנינו לבין שותפו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 xml:space="preserve">') </w:t>
      </w:r>
      <w:r>
        <w:rPr>
          <w:rFonts w:ascii="Arial" w:hAnsi="Arial" w:cs="Arial"/>
          <w:rtl w:val="true"/>
        </w:rPr>
        <w:t>ובנימוקים השונים שבבסיס בקשתה לאבחן בין עונשם של השניים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הנאשם היה קרוב לבגירות בעת ביצוע העבירות וגם אם לא ניתן משקל לחומרה לעצם ניהול התיק בעניינו עד תום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ודאי שלא ניתן ליתן משקל לקולא כהלכת בית המשפט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מקום שלא הודה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קיבל אחריות למיוחס לו ולא הביע חרטה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נאשם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לאחר קביעותינו בהכרעת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הביע חרטה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נשא עיניו אל בני משפחת המנוח וביקש את סליחתם כפי שעשה ע</w:t>
      </w:r>
      <w:r>
        <w:rPr>
          <w:rFonts w:cs="Arial" w:ascii="Arial" w:hAnsi="Arial"/>
          <w:rtl w:val="true"/>
        </w:rPr>
        <w:t xml:space="preserve">', </w:t>
      </w:r>
      <w:r>
        <w:rPr>
          <w:rFonts w:ascii="Arial" w:hAnsi="Arial" w:cs="Arial"/>
          <w:rtl w:val="true"/>
        </w:rPr>
        <w:t>אלא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בעזות מצח טען כי </w:t>
      </w:r>
      <w:r>
        <w:rPr>
          <w:rFonts w:cs="Miriam" w:ascii="Arial" w:hAnsi="Arial"/>
          <w:rtl w:val="true"/>
        </w:rPr>
        <w:t>"</w:t>
      </w:r>
      <w:r>
        <w:rPr>
          <w:rFonts w:ascii="Arial" w:hAnsi="Arial" w:cs="Miriam"/>
          <w:rtl w:val="true"/>
        </w:rPr>
        <w:t>יש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אלוהים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והוא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רואה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הכול</w:t>
      </w:r>
      <w:r>
        <w:rPr>
          <w:rFonts w:cs="Miriam" w:ascii="Arial" w:hAnsi="Arial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לא ניתן אלא לשוב לדבריה של אם המנוח בפנינו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היו אלה דברים של אם אשר כאבה את אובדן בנה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מעשה ידיו של הנאשם אשר יחד עם שותפו ירו בו למוות ללא רחם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דברי האם הדהדו באולם בית המשפט וכאבה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נדמה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פילח את חלל אולם בית המשפט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היושב בדין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ובשערי אולמו באים תיקי הפשע החמור דבר של יום ביומו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יכול היה שלא לחוש הזדהות עם כאבה ודבריה הבאים מהלב  והחודרים אל הלב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אם המנוח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ליוותה את משפטם של הנאשמים לכל אורכו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ואשר ישבה בשקט מופתי והקשיבה לראיות מתחילתן עד תומן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זעקה את זעקת האם השכולה ואין מילים לנחמה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מתוך כבוד לאם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נביא רק מתי מעט מדבריה בפנינו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46" w:end="720"/>
        <w:jc w:val="both"/>
        <w:rPr/>
      </w:pPr>
      <w:r>
        <w:rPr>
          <w:rFonts w:cs="Miriam" w:ascii="Arial" w:hAnsi="Arial"/>
          <w:rtl w:val="true"/>
        </w:rPr>
        <w:t xml:space="preserve">"[...] </w:t>
      </w:r>
      <w:r>
        <w:rPr>
          <w:rFonts w:ascii="Arial" w:hAnsi="Arial" w:cs="Miriam"/>
          <w:rtl w:val="true"/>
        </w:rPr>
        <w:t>עד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היום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בכל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לילה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חולמת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איך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ירו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איך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יצא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לכביש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בטרנינג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השחור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פותח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הזרועות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וקורא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לעזרה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Miriam" w:ascii="Arial" w:hAnsi="Arial"/>
          <w:rtl w:val="true"/>
        </w:rPr>
        <w:t>(</w:t>
      </w:r>
      <w:r>
        <w:rPr>
          <w:rFonts w:ascii="Arial" w:hAnsi="Arial" w:cs="Miriam"/>
          <w:rtl w:val="true"/>
        </w:rPr>
        <w:t>אך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אך</w:t>
      </w:r>
      <w:r>
        <w:rPr>
          <w:rFonts w:cs="Miriam" w:ascii="Arial" w:hAnsi="Arial"/>
          <w:rtl w:val="true"/>
        </w:rPr>
        <w:t xml:space="preserve">) </w:t>
      </w:r>
      <w:r>
        <w:rPr>
          <w:rFonts w:ascii="Arial" w:hAnsi="Arial" w:cs="Miriam"/>
          <w:rtl w:val="true"/>
        </w:rPr>
        <w:t>והתמוטט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באמצע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הכביש</w:t>
      </w:r>
      <w:r>
        <w:rPr>
          <w:rFonts w:cs="Miriam" w:ascii="Arial" w:hAnsi="Arial"/>
          <w:rtl w:val="true"/>
        </w:rPr>
        <w:t xml:space="preserve">. </w:t>
      </w:r>
      <w:r>
        <w:rPr>
          <w:rFonts w:ascii="Arial" w:hAnsi="Arial" w:cs="Miriam"/>
          <w:rtl w:val="true"/>
        </w:rPr>
        <w:t>אימא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ששמרה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ושמעה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כל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דופק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ונשימה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שמעה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הצילה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ונחסרה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הלווא</w:t>
      </w:r>
      <w:r>
        <w:rPr>
          <w:rFonts w:ascii="Arial" w:hAnsi="Arial" w:cs="Miriam"/>
          <w:rtl w:val="true"/>
        </w:rPr>
        <w:t>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ונחסרה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לעולם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גם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היא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באותו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לילה</w:t>
      </w:r>
      <w:r>
        <w:rPr>
          <w:rFonts w:cs="Miriam" w:ascii="Arial" w:hAnsi="Arial"/>
          <w:rtl w:val="true"/>
        </w:rPr>
        <w:t xml:space="preserve">. </w:t>
      </w:r>
      <w:r>
        <w:rPr>
          <w:rFonts w:ascii="Arial" w:hAnsi="Arial" w:cs="Miriam"/>
          <w:rtl w:val="true"/>
        </w:rPr>
        <w:t>אבל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לחלומות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האימא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ערך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ולחלומות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האחרים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ערך</w:t>
      </w:r>
      <w:r>
        <w:rPr>
          <w:rFonts w:cs="Miriam" w:ascii="Arial" w:hAnsi="Arial"/>
          <w:rtl w:val="true"/>
        </w:rPr>
        <w:t>..."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ובהמשך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46" w:end="720"/>
        <w:jc w:val="both"/>
        <w:rPr/>
      </w:pPr>
      <w:r>
        <w:rPr>
          <w:rFonts w:cs="Miriam" w:ascii="Arial" w:hAnsi="Arial"/>
          <w:rtl w:val="true"/>
        </w:rPr>
        <w:t>"[...] (</w:t>
      </w:r>
      <w:r>
        <w:rPr>
          <w:rFonts w:ascii="Arial" w:hAnsi="Arial" w:cs="Miriam"/>
          <w:rtl w:val="true"/>
        </w:rPr>
        <w:t>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תרצח</w:t>
      </w:r>
      <w:r>
        <w:rPr>
          <w:rFonts w:cs="Miriam" w:ascii="Arial" w:hAnsi="Arial"/>
          <w:rtl w:val="true"/>
        </w:rPr>
        <w:t>)</w:t>
      </w:r>
      <w:r>
        <w:rPr>
          <w:rFonts w:cs="Miriam" w:ascii="Arial" w:hAnsi="Arial"/>
          <w:rtl w:val="true"/>
        </w:rPr>
        <w:t xml:space="preserve"> </w:t>
      </w:r>
      <w:r>
        <w:rPr>
          <w:rFonts w:ascii="Arial" w:hAnsi="Arial" w:cs="Miriam"/>
          <w:rtl w:val="true"/>
        </w:rPr>
        <w:t>הינה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אזהרה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אלוהית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ואיסור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מוחלט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לכל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אדם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וכל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דתות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ערכו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המיוחד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והעליון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בכל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הדתות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אבל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הרוצחים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האלה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התעלמו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מאזהרת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אלוהים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ורצחו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בדם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קר</w:t>
      </w:r>
      <w:r>
        <w:rPr>
          <w:rFonts w:cs="Miriam" w:ascii="Arial" w:hAnsi="Arial"/>
          <w:rtl w:val="true"/>
        </w:rPr>
        <w:t>.</w:t>
      </w:r>
    </w:p>
    <w:p>
      <w:pPr>
        <w:pStyle w:val="Normal"/>
        <w:ind w:start="746" w:end="720"/>
        <w:jc w:val="both"/>
        <w:rPr>
          <w:rFonts w:ascii="Arial" w:hAnsi="Arial" w:cs="Miriam"/>
        </w:rPr>
      </w:pPr>
      <w:r>
        <w:rPr>
          <w:rFonts w:cs="Miriam" w:ascii="Arial" w:hAnsi="Arial"/>
          <w:rtl w:val="true"/>
        </w:rPr>
      </w:r>
    </w:p>
    <w:p>
      <w:pPr>
        <w:pStyle w:val="Normal"/>
        <w:ind w:start="746" w:end="720"/>
        <w:jc w:val="both"/>
        <w:rPr>
          <w:rFonts w:ascii="Arial" w:hAnsi="Arial" w:cs="Miriam"/>
        </w:rPr>
      </w:pPr>
      <w:r>
        <w:rPr>
          <w:rFonts w:ascii="Arial" w:hAnsi="Arial" w:cs="Miriam"/>
          <w:rtl w:val="true"/>
        </w:rPr>
        <w:t>האם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ירד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ערכו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האדם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בעידן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המודרני</w:t>
      </w:r>
      <w:r>
        <w:rPr>
          <w:rFonts w:cs="Miriam" w:ascii="Arial" w:hAnsi="Arial"/>
          <w:rtl w:val="true"/>
        </w:rPr>
        <w:t xml:space="preserve">? </w:t>
      </w:r>
      <w:r>
        <w:rPr>
          <w:rFonts w:ascii="Arial" w:hAnsi="Arial" w:cs="Miriam"/>
          <w:rtl w:val="true"/>
        </w:rPr>
        <w:t>האם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האמונה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בקדושת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החיים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ירדה</w:t>
      </w:r>
      <w:r>
        <w:rPr>
          <w:rFonts w:cs="Miriam" w:ascii="Arial" w:hAnsi="Arial"/>
          <w:rtl w:val="true"/>
        </w:rPr>
        <w:t>?</w:t>
      </w:r>
    </w:p>
    <w:p>
      <w:pPr>
        <w:pStyle w:val="Normal"/>
        <w:ind w:start="746" w:end="720"/>
        <w:jc w:val="both"/>
        <w:rPr>
          <w:rFonts w:ascii="Arial" w:hAnsi="Arial" w:cs="Miriam"/>
        </w:rPr>
      </w:pPr>
      <w:r>
        <w:rPr>
          <w:rFonts w:cs="Miriam" w:ascii="Arial" w:hAnsi="Arial"/>
          <w:rtl w:val="true"/>
        </w:rPr>
      </w:r>
    </w:p>
    <w:p>
      <w:pPr>
        <w:pStyle w:val="Normal"/>
        <w:ind w:start="746" w:end="720"/>
        <w:jc w:val="both"/>
        <w:rPr/>
      </w:pPr>
      <w:r>
        <w:rPr>
          <w:rFonts w:ascii="Arial" w:hAnsi="Arial" w:cs="Miriam"/>
          <w:rtl w:val="true"/>
        </w:rPr>
        <w:t>ועל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האלימות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הגואה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שתקפה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המדינה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רשמה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שיאים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בחודשים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האחרונים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שהיו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מעורבים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בהם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נוער</w:t>
      </w:r>
      <w:r>
        <w:rPr>
          <w:rFonts w:cs="Miriam" w:ascii="Arial" w:hAnsi="Arial"/>
          <w:rtl w:val="true"/>
        </w:rPr>
        <w:t xml:space="preserve">. </w:t>
      </w:r>
      <w:r>
        <w:rPr>
          <w:rFonts w:ascii="Arial" w:hAnsi="Arial" w:cs="Miriam"/>
          <w:rtl w:val="true"/>
        </w:rPr>
        <w:t>בפעם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שעברה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אמרתי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שקיים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דור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חדש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עבריינים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רוצחים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ופושעים</w:t>
      </w:r>
      <w:r>
        <w:rPr>
          <w:rFonts w:cs="Miriam" w:ascii="Arial" w:hAnsi="Arial"/>
          <w:rtl w:val="true"/>
        </w:rPr>
        <w:t>..."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דברים כדורבנות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 בכדי הפנתה באת כח המאשימה לסרטון האבטחה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בסרטון זה נצפים השניים בעת פעילותם העבריינית שהסתיימה בקטילתו של המנוח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כל אחד מהשניים אוחז אקדח בידו והם רצים לעבר המנוח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יורים בו ללא רחם מהאקדחים שבידם ונמלטים לאחר מעשה מהמקום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בעוד הלה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בחור בדמי ימיו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יוצא אל הרחוב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ספק מבקש עזרה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ספק תר אחר אלה שפגעו בו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בנוסף לעבירת הרצח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הורשע הנאשם כאמור לעיל בעבירות נוספות של קשירת קשר לביצוע פשע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שוד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שוד ועבירות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עבירות חמורות כשלעצמן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לצידן קבע המחוקק ענישה מחמירה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כבעניינו של שותפו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גם כאן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אנו מקבלים את גישתה של המאשימה כי על פי 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לגזור ענישה נפרדת ומצטברת וכי ראוי שנעשה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שיבטא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שציינו בעניינו של השותף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סלידה ושאט נפש ממעשיו הנפשעים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הרתעת אחרים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בסיכומו של דבר אנו מחליטים שלא לגזור על הנאשם עונש מאסר עולם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מפאת קטינותו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מבלי להתעלם מעיקרון אחידות הענישה אשר נקבע בהלכה הפסוקה ותוך הבחנה בין העונש שמן הראוי לגזור על נאשם זה לבין העונש שנגזר על ע</w:t>
      </w:r>
      <w:r>
        <w:rPr>
          <w:rFonts w:cs="Arial" w:ascii="Arial" w:hAnsi="Arial"/>
          <w:rtl w:val="true"/>
        </w:rPr>
        <w:t xml:space="preserve">', </w:t>
      </w:r>
      <w:r>
        <w:rPr>
          <w:rFonts w:ascii="Arial" w:hAnsi="Arial" w:cs="Arial"/>
          <w:rtl w:val="true"/>
        </w:rPr>
        <w:t>אנו מחליטים לגזור עליו את העונשים כדלקמן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בגין הרשעתו בעבירה של רצח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בגין הרשעתו בשוד מזויין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קשירת קשר לביצוע פשע ועבירות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שתי שנות מאסר ירוצו במצטבר לעונש של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 שנגזרו על הנאשם בגין עבירת הרצח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ושתי שנות מאסר ירוצו באופן חופף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שסך הכל יהא על הנאשם לרצות </w:t>
      </w:r>
      <w:r>
        <w:rPr>
          <w:rFonts w:cs="Arial" w:ascii="Arial" w:hAnsi="Arial"/>
          <w:u w:val="single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בשל תקופת המאסר הארוכה שנגזרה על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אנו נמנעים מלגזור עליו עונש מאסר מותנה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לצורך מניין תקופת המאסר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תימנה תקופת שהייתו במעצר מיום </w:t>
      </w:r>
      <w:r>
        <w:rPr>
          <w:rFonts w:cs="Arial" w:ascii="Arial" w:hAnsi="Arial"/>
        </w:rPr>
        <w:t>18/01/11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ועד היום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 xml:space="preserve">זכות ערעור לבית המשפט העליון בתוך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מהיום</w:t>
      </w:r>
      <w:r>
        <w:rPr>
          <w:rFonts w:cs="Arial" w:ascii="Arial" w:hAnsi="Arial"/>
          <w:b/>
          <w:bCs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tbl>
      <w:tblPr>
        <w:bidiVisual w:val="true"/>
        <w:tblW w:w="805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74"/>
        <w:gridCol w:w="360"/>
        <w:gridCol w:w="2392"/>
        <w:gridCol w:w="308"/>
        <w:gridCol w:w="2520"/>
      </w:tblGrid>
      <w:tr>
        <w:trPr/>
        <w:tc>
          <w:tcPr>
            <w:tcW w:w="247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  <w:drawing>
                <wp:inline distT="0" distB="0" distL="0" distR="0">
                  <wp:extent cx="638810" cy="1124585"/>
                  <wp:effectExtent l="0" t="0" r="0" b="0"/>
                  <wp:docPr id="1" name="אלרון 053565529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אלרון 053565529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rcRect l="-2147483648" t="-2147483648" r="-2147483648" b="-21474836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810" cy="11245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/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  <w:drawing>
                <wp:inline distT="0" distB="0" distL="0" distR="0">
                  <wp:extent cx="1379220" cy="713105"/>
                  <wp:effectExtent l="0" t="0" r="0" b="0"/>
                  <wp:docPr id="2" name="067578955 גלעד משה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067578955 גלעד משה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rcRect l="-2147483648" t="-2147483648" r="-2147483648" b="-21474836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9220" cy="7131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" w:type="dxa"/>
            <w:tcBorders/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  <w:drawing>
                <wp:inline distT="0" distB="0" distL="0" distR="0">
                  <wp:extent cx="1256030" cy="723900"/>
                  <wp:effectExtent l="0" t="0" r="0" b="0"/>
                  <wp:docPr id="3" name="רניאל 05341209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רניאל 05341209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rcRect l="-2147483648" t="-2147483648" r="-2147483648" b="-21474836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030" cy="723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474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אלרון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[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>]</w:t>
            </w:r>
          </w:p>
        </w:tc>
        <w:tc>
          <w:tcPr>
            <w:tcW w:w="36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b/>
                <w:bCs/>
                <w:color w:val="FF0000"/>
                <w:lang w:val="en-IL" w:eastAsia="en-IL"/>
              </w:rPr>
            </w:pPr>
            <w:r>
              <w:rPr>
                <w:b/>
                <w:bCs/>
                <w:color w:val="FF0000"/>
                <w:rtl w:val="true"/>
                <w:lang w:val="en-IL" w:eastAsia="en-IL"/>
              </w:rPr>
            </w:r>
          </w:p>
        </w:tc>
        <w:tc>
          <w:tcPr>
            <w:tcW w:w="239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גלעד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  <w:tc>
          <w:tcPr>
            <w:tcW w:w="308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b/>
                <w:bCs/>
                <w:color w:val="FF0000"/>
                <w:lang w:val="en-IL" w:eastAsia="en-IL"/>
              </w:rPr>
            </w:pPr>
            <w:r>
              <w:rPr>
                <w:b/>
                <w:bCs/>
                <w:color w:val="FF0000"/>
                <w:rtl w:val="true"/>
                <w:lang w:val="en-IL" w:eastAsia="en-IL"/>
              </w:rPr>
            </w:r>
          </w:p>
        </w:tc>
        <w:tc>
          <w:tcPr>
            <w:tcW w:w="2520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/>
                <w:bCs/>
                <w:rtl w:val="true"/>
                <w:lang w:val="en-IL" w:eastAsia="en-IL"/>
              </w:rPr>
              <w:t>מ</w:t>
            </w:r>
            <w:r>
              <w:rPr>
                <w:b/>
                <w:bCs/>
                <w:rtl w:val="true"/>
                <w:lang w:val="en-IL" w:eastAsia="en-IL"/>
              </w:rPr>
              <w:t xml:space="preserve">' </w:t>
            </w:r>
            <w:r>
              <w:rPr>
                <w:b/>
                <w:b/>
                <w:bCs/>
                <w:rtl w:val="true"/>
                <w:lang w:val="en-IL" w:eastAsia="en-IL"/>
              </w:rPr>
              <w:t>רניאל</w:t>
            </w:r>
            <w:r>
              <w:rPr>
                <w:b/>
                <w:bCs/>
                <w:rtl w:val="true"/>
                <w:lang w:val="en-IL" w:eastAsia="en-IL"/>
              </w:rPr>
              <w:t xml:space="preserve">, </w:t>
            </w:r>
            <w:r>
              <w:rPr>
                <w:b/>
                <w:b/>
                <w:bCs/>
                <w:rtl w:val="true"/>
                <w:lang w:val="en-IL" w:eastAsia="en-IL"/>
              </w:rPr>
              <w:t>שופט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Cs/>
                <w:rtl w:val="true"/>
                <w:lang w:val="en-IL" w:eastAsia="en-IL"/>
              </w:rPr>
            </w:r>
          </w:p>
        </w:tc>
      </w:tr>
    </w:tbl>
    <w:p>
      <w:pPr>
        <w:pStyle w:val="Header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Header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הרכב ים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Header"/>
        <w:spacing w:lineRule="auto" w:line="360"/>
        <w:ind w:end="0"/>
        <w:jc w:val="both"/>
        <w:rPr>
          <w:sz w:val="18"/>
          <w:szCs w:val="18"/>
        </w:rPr>
      </w:pPr>
      <w:r>
        <w:rPr>
          <w:sz w:val="18"/>
          <w:sz w:val="18"/>
          <w:szCs w:val="18"/>
          <w:rtl w:val="true"/>
        </w:rPr>
        <w:t>אתי</w:t>
      </w:r>
      <w:r>
        <w:rPr>
          <w:rFonts w:cs="Times New Roman"/>
          <w:sz w:val="18"/>
          <w:sz w:val="18"/>
          <w:szCs w:val="18"/>
          <w:rtl w:val="true"/>
        </w:rPr>
        <w:t xml:space="preserve"> </w:t>
      </w:r>
      <w:r>
        <w:rPr>
          <w:sz w:val="18"/>
          <w:sz w:val="18"/>
          <w:szCs w:val="18"/>
          <w:rtl w:val="true"/>
        </w:rPr>
        <w:t>עטיאס</w:t>
      </w:r>
    </w:p>
    <w:p>
      <w:pPr>
        <w:pStyle w:val="Normal"/>
        <w:spacing w:lineRule="auto" w:line="360"/>
        <w:ind w:end="0"/>
        <w:jc w:val="start"/>
        <w:rPr>
          <w:lang w:eastAsia="en-US"/>
        </w:rPr>
      </w:pPr>
      <w:r>
        <w:rPr>
          <w:color w:val="000000"/>
          <w:rtl w:val="true"/>
          <w:lang w:eastAsia="en-US"/>
        </w:rPr>
        <w:t>נוסח</w:t>
      </w:r>
      <w:r>
        <w:rPr>
          <w:rFonts w:cs="Times New Roman"/>
          <w:color w:val="000000"/>
          <w:rtl w:val="true"/>
          <w:lang w:eastAsia="en-US"/>
        </w:rPr>
        <w:t xml:space="preserve"> </w:t>
      </w:r>
      <w:r>
        <w:rPr>
          <w:color w:val="000000"/>
          <w:rtl w:val="true"/>
          <w:lang w:eastAsia="en-US"/>
        </w:rPr>
        <w:t>מסמך</w:t>
      </w:r>
      <w:r>
        <w:rPr>
          <w:rFonts w:cs="Times New Roman"/>
          <w:color w:val="000000"/>
          <w:rtl w:val="true"/>
          <w:lang w:eastAsia="en-US"/>
        </w:rPr>
        <w:t xml:space="preserve"> </w:t>
      </w:r>
      <w:r>
        <w:rPr>
          <w:color w:val="000000"/>
          <w:rtl w:val="true"/>
          <w:lang w:eastAsia="en-US"/>
        </w:rPr>
        <w:t>זה</w:t>
      </w:r>
      <w:r>
        <w:rPr>
          <w:rFonts w:cs="Times New Roman"/>
          <w:color w:val="000000"/>
          <w:rtl w:val="true"/>
          <w:lang w:eastAsia="en-US"/>
        </w:rPr>
        <w:t xml:space="preserve"> </w:t>
      </w:r>
      <w:r>
        <w:rPr>
          <w:color w:val="000000"/>
          <w:rtl w:val="true"/>
          <w:lang w:eastAsia="en-US"/>
        </w:rPr>
        <w:t>כפוף</w:t>
      </w:r>
      <w:r>
        <w:rPr>
          <w:rFonts w:cs="Times New Roman"/>
          <w:color w:val="000000"/>
          <w:rtl w:val="true"/>
          <w:lang w:eastAsia="en-US"/>
        </w:rPr>
        <w:t xml:space="preserve"> </w:t>
      </w:r>
      <w:r>
        <w:rPr>
          <w:color w:val="000000"/>
          <w:rtl w:val="true"/>
          <w:lang w:eastAsia="en-US"/>
        </w:rPr>
        <w:t>לשינויי</w:t>
      </w:r>
      <w:r>
        <w:rPr>
          <w:rFonts w:cs="Times New Roman"/>
          <w:color w:val="000000"/>
          <w:rtl w:val="true"/>
          <w:lang w:eastAsia="en-US"/>
        </w:rPr>
        <w:t xml:space="preserve"> </w:t>
      </w:r>
      <w:r>
        <w:rPr>
          <w:color w:val="000000"/>
          <w:rtl w:val="true"/>
          <w:lang w:eastAsia="en-US"/>
        </w:rPr>
        <w:t>ניסוח</w:t>
      </w:r>
      <w:r>
        <w:rPr>
          <w:rFonts w:cs="Times New Roman"/>
          <w:color w:val="000000"/>
          <w:rtl w:val="true"/>
          <w:lang w:eastAsia="en-US"/>
        </w:rPr>
        <w:t xml:space="preserve"> </w:t>
      </w:r>
      <w:r>
        <w:rPr>
          <w:color w:val="000000"/>
          <w:rtl w:val="true"/>
          <w:lang w:eastAsia="en-US"/>
        </w:rPr>
        <w:t>ועריכה</w:t>
      </w:r>
    </w:p>
    <w:p>
      <w:pPr>
        <w:pStyle w:val="Normal"/>
        <w:spacing w:lineRule="auto" w:line="360"/>
        <w:ind w:end="0"/>
        <w:jc w:val="start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spacing w:lineRule="auto" w:line="360"/>
        <w:ind w:end="0"/>
        <w:jc w:val="center"/>
        <w:rPr>
          <w:color w:val="0000FF"/>
          <w:u w:val="single"/>
          <w:lang w:eastAsia="en-US"/>
        </w:rPr>
      </w:pPr>
      <w:r>
        <w:rPr>
          <w:color w:val="000000"/>
          <w:rtl w:val="true"/>
          <w:lang w:eastAsia="en-US"/>
        </w:rPr>
        <w:t>בעניין</w:t>
      </w:r>
      <w:r>
        <w:rPr>
          <w:rFonts w:cs="Times New Roman"/>
          <w:color w:val="000000"/>
          <w:rtl w:val="true"/>
          <w:lang w:eastAsia="en-US"/>
        </w:rPr>
        <w:t xml:space="preserve"> </w:t>
      </w:r>
      <w:r>
        <w:rPr>
          <w:color w:val="000000"/>
          <w:rtl w:val="true"/>
          <w:lang w:eastAsia="en-US"/>
        </w:rPr>
        <w:t>עריכה</w:t>
      </w:r>
      <w:r>
        <w:rPr>
          <w:rFonts w:cs="Times New Roman"/>
          <w:color w:val="000000"/>
          <w:rtl w:val="true"/>
          <w:lang w:eastAsia="en-US"/>
        </w:rPr>
        <w:t xml:space="preserve"> </w:t>
      </w:r>
      <w:r>
        <w:rPr>
          <w:color w:val="000000"/>
          <w:rtl w:val="true"/>
          <w:lang w:eastAsia="en-US"/>
        </w:rPr>
        <w:t>ושינויים</w:t>
      </w:r>
      <w:r>
        <w:rPr>
          <w:rFonts w:cs="Times New Roman"/>
          <w:color w:val="000000"/>
          <w:rtl w:val="true"/>
          <w:lang w:eastAsia="en-US"/>
        </w:rPr>
        <w:t xml:space="preserve"> </w:t>
      </w:r>
      <w:r>
        <w:rPr>
          <w:color w:val="000000"/>
          <w:rtl w:val="true"/>
          <w:lang w:eastAsia="en-US"/>
        </w:rPr>
        <w:t>במסמכי</w:t>
      </w:r>
      <w:r>
        <w:rPr>
          <w:rFonts w:cs="Times New Roman"/>
          <w:color w:val="000000"/>
          <w:rtl w:val="true"/>
          <w:lang w:eastAsia="en-US"/>
        </w:rPr>
        <w:t xml:space="preserve"> </w:t>
      </w:r>
      <w:r>
        <w:rPr>
          <w:color w:val="000000"/>
          <w:rtl w:val="true"/>
          <w:lang w:eastAsia="en-US"/>
        </w:rPr>
        <w:t>פסיקה</w:t>
      </w:r>
      <w:r>
        <w:rPr>
          <w:color w:val="000000"/>
          <w:rtl w:val="true"/>
          <w:lang w:eastAsia="en-US"/>
        </w:rPr>
        <w:t xml:space="preserve">, </w:t>
      </w:r>
      <w:r>
        <w:rPr>
          <w:color w:val="000000"/>
          <w:rtl w:val="true"/>
          <w:lang w:eastAsia="en-US"/>
        </w:rPr>
        <w:t>חקיקה</w:t>
      </w:r>
      <w:r>
        <w:rPr>
          <w:rFonts w:cs="Times New Roman"/>
          <w:color w:val="000000"/>
          <w:rtl w:val="true"/>
          <w:lang w:eastAsia="en-US"/>
        </w:rPr>
        <w:t xml:space="preserve"> </w:t>
      </w:r>
      <w:r>
        <w:rPr>
          <w:color w:val="000000"/>
          <w:rtl w:val="true"/>
          <w:lang w:eastAsia="en-US"/>
        </w:rPr>
        <w:t>ועוד</w:t>
      </w:r>
      <w:r>
        <w:rPr>
          <w:rFonts w:cs="Times New Roman"/>
          <w:color w:val="000000"/>
          <w:rtl w:val="true"/>
          <w:lang w:eastAsia="en-US"/>
        </w:rPr>
        <w:t xml:space="preserve"> </w:t>
      </w:r>
      <w:r>
        <w:rPr>
          <w:color w:val="000000"/>
          <w:rtl w:val="true"/>
          <w:lang w:eastAsia="en-US"/>
        </w:rPr>
        <w:t>באתר</w:t>
      </w:r>
      <w:r>
        <w:rPr>
          <w:rFonts w:cs="Times New Roman"/>
          <w:color w:val="000000"/>
          <w:rtl w:val="true"/>
          <w:lang w:eastAsia="en-US"/>
        </w:rPr>
        <w:t xml:space="preserve"> </w:t>
      </w:r>
      <w:r>
        <w:rPr>
          <w:color w:val="000000"/>
          <w:rtl w:val="true"/>
          <w:lang w:eastAsia="en-US"/>
        </w:rPr>
        <w:t>נבו</w:t>
      </w:r>
      <w:r>
        <w:rPr>
          <w:rFonts w:cs="Times New Roman"/>
          <w:color w:val="000000"/>
          <w:rtl w:val="true"/>
          <w:lang w:eastAsia="en-US"/>
        </w:rPr>
        <w:t xml:space="preserve"> </w:t>
      </w:r>
      <w:r>
        <w:rPr>
          <w:color w:val="000000"/>
          <w:rtl w:val="true"/>
          <w:lang w:eastAsia="en-US"/>
        </w:rPr>
        <w:t>–</w:t>
      </w:r>
      <w:r>
        <w:rPr>
          <w:rFonts w:cs="Times New Roman"/>
          <w:color w:val="000000"/>
          <w:rtl w:val="true"/>
          <w:lang w:eastAsia="en-US"/>
        </w:rPr>
        <w:t xml:space="preserve"> </w:t>
      </w:r>
      <w:r>
        <w:rPr>
          <w:color w:val="000000"/>
          <w:rtl w:val="true"/>
          <w:lang w:eastAsia="en-US"/>
        </w:rPr>
        <w:t>הקש</w:t>
      </w:r>
      <w:r>
        <w:rPr>
          <w:rFonts w:cs="Times New Roman"/>
          <w:color w:val="000000"/>
          <w:rtl w:val="true"/>
          <w:lang w:eastAsia="en-US"/>
        </w:rPr>
        <w:t xml:space="preserve"> </w:t>
      </w:r>
      <w:r>
        <w:rPr>
          <w:color w:val="000000"/>
          <w:rtl w:val="true"/>
          <w:lang w:eastAsia="en-US"/>
        </w:rPr>
        <w:t>כאן</w:t>
      </w:r>
    </w:p>
    <w:p>
      <w:pPr>
        <w:pStyle w:val="Normal"/>
        <w:spacing w:lineRule="auto" w:line="360"/>
        <w:ind w:end="0"/>
        <w:jc w:val="center"/>
        <w:rPr>
          <w:color w:val="0000FF"/>
          <w:u w:val="single"/>
          <w:lang w:eastAsia="en-US"/>
        </w:rPr>
      </w:pPr>
      <w:r>
        <w:rPr>
          <w:color w:val="0000FF"/>
          <w:u w:val="single"/>
          <w:rtl w:val="true"/>
          <w:lang w:eastAsia="en-US"/>
        </w:rPr>
      </w:r>
    </w:p>
    <w:sectPr>
      <w:headerReference w:type="default" r:id="rId27"/>
      <w:footerReference w:type="default" r:id="rId28"/>
      <w:type w:val="nextPage"/>
      <w:pgSz w:w="11906" w:h="16838"/>
      <w:pgMar w:left="1980" w:right="1800" w:gutter="0" w:header="708" w:top="1701" w:footer="708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4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21643-02-11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/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720"/>
        </w:tabs>
        <w:ind w:start="720" w:hanging="360"/>
      </w:pPr>
      <w:rPr>
        <w:lang w:val="en-U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360"/>
      <w:ind w:hanging="0" w:start="0" w:end="0"/>
      <w:jc w:val="both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0"/>
        <w:numId w:val="3"/>
      </w:numPr>
      <w:tabs>
        <w:tab w:val="clear" w:pos="720"/>
        <w:tab w:val="left" w:pos="8306" w:leader="none"/>
      </w:tabs>
      <w:spacing w:lineRule="auto" w:line="360"/>
      <w:ind w:hanging="0" w:start="720" w:end="0"/>
      <w:jc w:val="both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ind w:hanging="0" w:start="0" w:end="0"/>
      <w:jc w:val="start"/>
      <w:outlineLvl w:val="2"/>
    </w:pPr>
    <w:rPr>
      <w:rFonts w:ascii="Arial" w:hAnsi="Arial" w:cs="Arial"/>
      <w:b/>
      <w:bCs/>
      <w:sz w:val="26"/>
      <w:szCs w:val="26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>
      <w:u w:val="none"/>
    </w:rPr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WW8Num13z2">
    <w:name w:val="WW8Num13z2"/>
    <w:qFormat/>
    <w:rPr>
      <w:lang w:val="en-US"/>
    </w:rPr>
  </w:style>
  <w:style w:type="character" w:styleId="WW8Num14z0">
    <w:name w:val="WW8Num14z0"/>
    <w:qFormat/>
    <w:rPr/>
  </w:style>
  <w:style w:type="character" w:styleId="WW8Num14z1">
    <w:name w:val="WW8Num14z1"/>
    <w:qFormat/>
    <w:rPr>
      <w:b w:val="false"/>
      <w:bCs w:val="false"/>
      <w:lang w:val="en-US"/>
    </w:rPr>
  </w:style>
  <w:style w:type="character" w:styleId="WW8Num14z2">
    <w:name w:val="WW8Num14z2"/>
    <w:qFormat/>
    <w:rPr>
      <w:lang w:val="en-US" w:bidi="he-IL"/>
    </w:rPr>
  </w:style>
  <w:style w:type="character" w:styleId="WW8Num16z0">
    <w:name w:val="WW8Num16z0"/>
    <w:qFormat/>
    <w:rPr/>
  </w:style>
  <w:style w:type="character" w:styleId="WW8Num17z0">
    <w:name w:val="WW8Num17z0"/>
    <w:qFormat/>
    <w:rPr/>
  </w:style>
  <w:style w:type="character" w:styleId="WW8Num18z0">
    <w:name w:val="WW8Num18z0"/>
    <w:qFormat/>
    <w:rPr/>
  </w:style>
  <w:style w:type="character" w:styleId="WW8Num19z0">
    <w:name w:val="WW8Num19z0"/>
    <w:qFormat/>
    <w:rPr/>
  </w:style>
  <w:style w:type="character" w:styleId="WW8Num20z0">
    <w:name w:val="WW8Num20z0"/>
    <w:qFormat/>
    <w:rPr>
      <w:u w:val="none"/>
    </w:rPr>
  </w:style>
  <w:style w:type="character" w:styleId="WW8Num23z0">
    <w:name w:val="WW8Num23z0"/>
    <w:qFormat/>
    <w:rPr>
      <w:rFonts w:cs="David"/>
      <w:szCs w:val="24"/>
    </w:rPr>
  </w:style>
  <w:style w:type="character" w:styleId="WW8Num23z1">
    <w:name w:val="WW8Num23z1"/>
    <w:qFormat/>
    <w:rPr>
      <w:rFonts w:cs="Times New Roman"/>
    </w:rPr>
  </w:style>
  <w:style w:type="character" w:styleId="WW8Num24z0">
    <w:name w:val="WW8Num24z0"/>
    <w:qFormat/>
    <w:rPr>
      <w:rFonts w:ascii="Times New Roman" w:hAnsi="Times New Roman" w:eastAsia="Times New Roman" w:cs="David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/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>
      <w:lang w:val="en-US"/>
    </w:rPr>
  </w:style>
  <w:style w:type="character" w:styleId="WW8Num28z0">
    <w:name w:val="WW8Num28z0"/>
    <w:qFormat/>
    <w:rPr/>
  </w:style>
  <w:style w:type="character" w:styleId="WW8Num29z0">
    <w:name w:val="WW8Num29z0"/>
    <w:qFormat/>
    <w:rPr/>
  </w:style>
  <w:style w:type="character" w:styleId="WW8Num30z0">
    <w:name w:val="WW8Num30z0"/>
    <w:qFormat/>
    <w:rPr/>
  </w:style>
  <w:style w:type="character" w:styleId="WW8Num31z0">
    <w:name w:val="WW8Num31z0"/>
    <w:qFormat/>
    <w:rPr/>
  </w:style>
  <w:style w:type="character" w:styleId="WW8Num32z0">
    <w:name w:val="WW8Num32z0"/>
    <w:qFormat/>
    <w:rPr/>
  </w:style>
  <w:style w:type="character" w:styleId="WW8Num33z0">
    <w:name w:val="WW8Num33z0"/>
    <w:qFormat/>
    <w:rPr>
      <w:rFonts w:cs="David"/>
    </w:rPr>
  </w:style>
  <w:style w:type="character" w:styleId="DefaultParagraphFont">
    <w:name w:val="Default Paragraph Font"/>
    <w:qFormat/>
    <w:rPr/>
  </w:style>
  <w:style w:type="character" w:styleId="normal-h1">
    <w:name w:val="normal-h1"/>
    <w:basedOn w:val="DefaultParagraphFont"/>
    <w:qFormat/>
    <w:rPr>
      <w:rFonts w:ascii="Times New Roman" w:hAnsi="Times New Roman" w:cs="Times New Roman"/>
      <w:sz w:val="20"/>
      <w:szCs w:val="20"/>
    </w:rPr>
  </w:style>
  <w:style w:type="character" w:styleId="default">
    <w:name w:val="default"/>
    <w:basedOn w:val="DefaultParagraphFont"/>
    <w:qFormat/>
    <w:rPr>
      <w:rFonts w:ascii="Times New Roman" w:hAnsi="Times New Roman" w:cs="Times New Roman"/>
      <w:sz w:val="20"/>
      <w:szCs w:val="2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normal-h">
    <w:name w:val="normal-h"/>
    <w:basedOn w:val="DefaultParagraphFont"/>
    <w:qFormat/>
    <w:rPr/>
  </w:style>
  <w:style w:type="character" w:styleId="ac-h1">
    <w:name w:val="ac-h1"/>
    <w:basedOn w:val="DefaultParagraphFont"/>
    <w:qFormat/>
    <w:rPr>
      <w:rFonts w:ascii="Times New Roman" w:hAnsi="Times New Roman" w:cs="Times New Roman"/>
      <w:sz w:val="20"/>
      <w:szCs w:val="20"/>
    </w:rPr>
  </w:style>
  <w:style w:type="character" w:styleId="ruller50">
    <w:name w:val="ruller50"/>
    <w:basedOn w:val="DefaultParagraphFont"/>
    <w:qFormat/>
    <w:rPr>
      <w:rFonts w:ascii="Arial TUR" w:hAnsi="Arial TUR" w:cs="Times New Roman"/>
      <w:spacing w:val="10"/>
    </w:rPr>
  </w:style>
  <w:style w:type="character" w:styleId="PageNumber">
    <w:name w:val="page number"/>
    <w:basedOn w:val="DefaultParagraphFont"/>
    <w:rPr/>
  </w:style>
  <w:style w:type="character" w:styleId="Ruller4">
    <w:name w:val="Ruller4 תו"/>
    <w:basedOn w:val="DefaultParagraphFont"/>
    <w:qFormat/>
    <w:rPr>
      <w:rFonts w:ascii="Arial TUR" w:hAnsi="Arial TUR" w:cs="FrankRuehl"/>
      <w:spacing w:val="10"/>
      <w:sz w:val="22"/>
      <w:szCs w:val="28"/>
      <w:lang w:val="en-US" w:bidi="he-I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-p">
    <w:name w:val="normal-p"/>
    <w:basedOn w:val="Normal"/>
    <w:qFormat/>
    <w:pPr>
      <w:bidi w:val="0"/>
      <w:jc w:val="both"/>
    </w:pPr>
    <w:rPr>
      <w:rFonts w:eastAsia="Arial Unicode MS" w:cs="Times New Roman"/>
      <w:sz w:val="20"/>
      <w:szCs w:val="20"/>
    </w:rPr>
  </w:style>
  <w:style w:type="paragraph" w:styleId="BlockText">
    <w:name w:val="Block Text"/>
    <w:basedOn w:val="Normal"/>
    <w:qFormat/>
    <w:pPr>
      <w:tabs>
        <w:tab w:val="clear" w:pos="720"/>
        <w:tab w:val="left" w:pos="7586" w:leader="none"/>
      </w:tabs>
      <w:ind w:hanging="540" w:start="926" w:end="720"/>
      <w:jc w:val="both"/>
    </w:pPr>
    <w:rPr>
      <w:b/>
      <w:bCs/>
    </w:rPr>
  </w:style>
  <w:style w:type="paragraph" w:styleId="ac-p">
    <w:name w:val="ac-p"/>
    <w:basedOn w:val="Normal"/>
    <w:qFormat/>
    <w:pPr>
      <w:bidi w:val="0"/>
      <w:jc w:val="both"/>
    </w:pPr>
    <w:rPr>
      <w:rFonts w:cs="Times New Roman"/>
      <w:sz w:val="20"/>
      <w:szCs w:val="20"/>
    </w:rPr>
  </w:style>
  <w:style w:type="paragraph" w:styleId="P00">
    <w:name w:val="P00"/>
    <w:qFormat/>
    <w:pPr>
      <w:widowControl w:val="false"/>
      <w:tabs>
        <w:tab w:val="clear" w:pos="720"/>
        <w:tab w:val="left" w:pos="624" w:leader="none"/>
        <w:tab w:val="left" w:pos="1021" w:leader="none"/>
        <w:tab w:val="left" w:pos="1474" w:leader="none"/>
        <w:tab w:val="left" w:pos="1928" w:leader="none"/>
        <w:tab w:val="left" w:pos="2381" w:leader="none"/>
        <w:tab w:val="left" w:pos="2835" w:leader="none"/>
        <w:tab w:val="right" w:pos="6259" w:leader="dot"/>
      </w:tabs>
      <w:suppressAutoHyphens w:val="true"/>
      <w:autoSpaceDE w:val="false"/>
      <w:bidi w:val="1"/>
      <w:spacing w:before="60" w:after="0"/>
      <w:ind w:hanging="0" w:start="2835" w:end="2835"/>
      <w:jc w:val="both"/>
    </w:pPr>
    <w:rPr>
      <w:rFonts w:ascii="Times New Roman" w:hAnsi="Times New Roman" w:eastAsia="Times New Roman" w:cs="Times New Roman"/>
      <w:color w:val="auto"/>
      <w:sz w:val="20"/>
      <w:szCs w:val="26"/>
      <w:lang w:val="en-US" w:eastAsia="en-IL" w:bidi="he-IL"/>
    </w:rPr>
  </w:style>
  <w:style w:type="paragraph" w:styleId="P22">
    <w:name w:val="P22"/>
    <w:basedOn w:val="P00"/>
    <w:qFormat/>
    <w:pPr>
      <w:tabs>
        <w:tab w:val="clear" w:pos="624"/>
        <w:tab w:val="clear" w:pos="1021"/>
        <w:tab w:val="left" w:pos="1474" w:leader="none"/>
        <w:tab w:val="left" w:pos="1928" w:leader="none"/>
        <w:tab w:val="left" w:pos="2381" w:leader="none"/>
        <w:tab w:val="left" w:pos="2835" w:leader="none"/>
        <w:tab w:val="right" w:pos="6259" w:leader="dot"/>
      </w:tabs>
      <w:ind w:hanging="0" w:start="2835" w:end="1021"/>
      <w:jc w:val="both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ind w:hanging="0" w:start="0" w:end="0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ind w:hanging="0" w:start="0" w:end="0"/>
      <w:jc w:val="both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>
      <w:lang w:val="en-IL" w:eastAsia="en-IL"/>
    </w:rPr>
  </w:style>
  <w:style w:type="paragraph" w:styleId="Ruller411">
    <w:name w:val="Ruller41"/>
    <w:basedOn w:val="Normal"/>
    <w:qFormat/>
    <w:pPr>
      <w:tabs>
        <w:tab w:val="clear" w:pos="720"/>
        <w:tab w:val="left" w:pos="800" w:leader="none"/>
      </w:tabs>
      <w:overflowPunct w:val="false"/>
      <w:autoSpaceDE w:val="false"/>
      <w:spacing w:lineRule="auto" w:line="360"/>
      <w:ind w:hanging="0" w:start="0" w:end="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Style11">
    <w:name w:val="צטוט"/>
    <w:basedOn w:val="Normal"/>
    <w:qFormat/>
    <w:pPr>
      <w:tabs>
        <w:tab w:val="clear" w:pos="720"/>
        <w:tab w:val="left" w:pos="567" w:leader="none"/>
        <w:tab w:val="left" w:pos="1134" w:leader="none"/>
        <w:tab w:val="left" w:pos="1701" w:leader="none"/>
        <w:tab w:val="left" w:pos="2268" w:leader="none"/>
        <w:tab w:val="left" w:pos="2835" w:leader="none"/>
        <w:tab w:val="left" w:pos="3402" w:leader="none"/>
      </w:tabs>
      <w:spacing w:lineRule="auto" w:line="360"/>
      <w:ind w:hanging="567" w:start="567" w:end="567"/>
      <w:jc w:val="both"/>
    </w:pPr>
    <w:rPr>
      <w:sz w:val="20"/>
    </w:rPr>
  </w:style>
  <w:style w:type="paragraph" w:styleId="BodyTextIndent">
    <w:name w:val="Body Text Indent"/>
    <w:basedOn w:val="Normal"/>
    <w:pPr>
      <w:spacing w:lineRule="auto" w:line="360"/>
      <w:ind w:hanging="720" w:start="720" w:end="0"/>
      <w:jc w:val="both"/>
    </w:pPr>
    <w:rPr>
      <w:sz w:val="26"/>
      <w:szCs w:val="2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a.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300.a" TargetMode="External"/><Relationship Id="rId7" Type="http://schemas.openxmlformats.org/officeDocument/2006/relationships/hyperlink" Target="http://www.nevo.co.il/law/70301/300.a.2." TargetMode="External"/><Relationship Id="rId8" Type="http://schemas.openxmlformats.org/officeDocument/2006/relationships/hyperlink" Target="http://www.nevo.co.il/law/70301/300.a.3" TargetMode="External"/><Relationship Id="rId9" Type="http://schemas.openxmlformats.org/officeDocument/2006/relationships/hyperlink" Target="http://www.nevo.co.il/law/70301/402.a." TargetMode="External"/><Relationship Id="rId10" Type="http://schemas.openxmlformats.org/officeDocument/2006/relationships/hyperlink" Target="http://www.nevo.co.il/law/70301/402.b" TargetMode="External"/><Relationship Id="rId11" Type="http://schemas.openxmlformats.org/officeDocument/2006/relationships/hyperlink" Target="http://www.nevo.co.il/law/70301/499.a.1" TargetMode="External"/><Relationship Id="rId12" Type="http://schemas.openxmlformats.org/officeDocument/2006/relationships/hyperlink" Target="http://www.nevo.co.il/law/70348" TargetMode="External"/><Relationship Id="rId13" Type="http://schemas.openxmlformats.org/officeDocument/2006/relationships/hyperlink" Target="http://www.nevo.co.il/law/70348/25.b" TargetMode="External"/><Relationship Id="rId14" Type="http://schemas.openxmlformats.org/officeDocument/2006/relationships/hyperlink" Target="http://www.nevo.co.il/law/70301/300.a.2.;300.a.3" TargetMode="External"/><Relationship Id="rId15" Type="http://schemas.openxmlformats.org/officeDocument/2006/relationships/hyperlink" Target="http://www.nevo.co.il/law/70301/29" TargetMode="External"/><Relationship Id="rId16" Type="http://schemas.openxmlformats.org/officeDocument/2006/relationships/hyperlink" Target="http://www.nevo.co.il/law/70301/499.a.1" TargetMode="External"/><Relationship Id="rId17" Type="http://schemas.openxmlformats.org/officeDocument/2006/relationships/hyperlink" Target="http://www.nevo.co.il/law/70301/144.a.;144.b" TargetMode="External"/><Relationship Id="rId18" Type="http://schemas.openxmlformats.org/officeDocument/2006/relationships/hyperlink" Target="http://www.nevo.co.il/law/70301/29" TargetMode="External"/><Relationship Id="rId19" Type="http://schemas.openxmlformats.org/officeDocument/2006/relationships/hyperlink" Target="http://www.nevo.co.il/law/70301/402.a.;402.b" TargetMode="External"/><Relationship Id="rId20" Type="http://schemas.openxmlformats.org/officeDocument/2006/relationships/hyperlink" Target="http://www.nevo.co.il/law/70301/29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17923198" TargetMode="External"/><Relationship Id="rId23" Type="http://schemas.openxmlformats.org/officeDocument/2006/relationships/hyperlink" Target="http://www.nevo.co.il/law/70301/300.a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48/25.b" TargetMode="External"/><Relationship Id="rId26" Type="http://schemas.openxmlformats.org/officeDocument/2006/relationships/hyperlink" Target="http://www.nevo.co.il/law/70348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2016-05-03T11:56:00Z</dcterms:created>
  <dc:creator> </dc:creator>
  <dc:description/>
  <cp:keywords/>
  <dc:language>en-IL</dc:language>
  <cp:lastModifiedBy>hofit</cp:lastModifiedBy>
  <cp:lastPrinted>2009-12-21T14:48:00Z</cp:lastPrinted>
  <dcterms:modified xsi:type="dcterms:W3CDTF">2016-05-03T11:56:00Z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פלוני;ע' (נדון)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17923198</vt:lpwstr>
  </property>
  <property fmtid="{D5CDD505-2E9C-101B-9397-08002B2CF9AE}" pid="9" name="CITY">
    <vt:lpwstr>חי'</vt:lpwstr>
  </property>
  <property fmtid="{D5CDD505-2E9C-101B-9397-08002B2CF9AE}" pid="10" name="DATE">
    <vt:lpwstr>20110118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יוסף אלרון;משה גלעד;מנחם רניאל</vt:lpwstr>
  </property>
  <property fmtid="{D5CDD505-2E9C-101B-9397-08002B2CF9AE}" pid="14" name="LAWLISTTMP1">
    <vt:lpwstr>70301/300.a.2;300.a.3;029:3;499.a.1;144.a;144.b;402.a;402.b;300.a</vt:lpwstr>
  </property>
  <property fmtid="{D5CDD505-2E9C-101B-9397-08002B2CF9AE}" pid="15" name="LAWLISTTMP2">
    <vt:lpwstr>70348/025.b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21643</vt:lpwstr>
  </property>
  <property fmtid="{D5CDD505-2E9C-101B-9397-08002B2CF9AE}" pid="23" name="NEWPARTB">
    <vt:lpwstr>02</vt:lpwstr>
  </property>
  <property fmtid="{D5CDD505-2E9C-101B-9397-08002B2CF9AE}" pid="24" name="NEWPARTC">
    <vt:lpwstr>11</vt:lpwstr>
  </property>
  <property fmtid="{D5CDD505-2E9C-101B-9397-08002B2CF9AE}" pid="25" name="NEWPROC">
    <vt:lpwstr>תפח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390020110118</vt:lpwstr>
  </property>
  <property fmtid="{D5CDD505-2E9C-101B-9397-08002B2CF9AE}" pid="35" name="TYPE_N_DATE">
    <vt:lpwstr>39020110118</vt:lpwstr>
  </property>
  <property fmtid="{D5CDD505-2E9C-101B-9397-08002B2CF9AE}" pid="36" name="VOLUME">
    <vt:lpwstr/>
  </property>
  <property fmtid="{D5CDD505-2E9C-101B-9397-08002B2CF9AE}" pid="37" name="WORDNUMPAGES">
    <vt:lpwstr>7</vt:lpwstr>
  </property>
</Properties>
</file>