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704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22343-07-11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גרגאווי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סלוטקי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מרדכי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חזק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before="120" w:after="12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אלכס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דרנבוים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דרום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12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גרגאווי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</w:p>
        </w:tc>
      </w:tr>
    </w:tbl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136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גזר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שהורשע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חמורות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כנגד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ביטחון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המדינה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כולל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9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מאז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האחרונה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כנגד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ביטחון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המדינה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למעצרו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  <w:lang w:val="en-US" w:eastAsia="en-US"/>
        </w:rPr>
        <w:t>כוללות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ניסיון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לרצח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חברות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בארגון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טרוריסטי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עברות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נשק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השגת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ידיעות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בעלות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ערך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צבאי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וגם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מספר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ייצור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נשק</w:t>
      </w:r>
      <w:r>
        <w:rPr>
          <w:rFonts w:cs="FrankRuehl"/>
          <w:szCs w:val="26"/>
          <w:rtl w:val="true"/>
          <w:lang w:val="en-US" w:eastAsia="en-US"/>
        </w:rPr>
        <w:t xml:space="preserve">- </w:t>
      </w:r>
      <w:r>
        <w:rPr>
          <w:rFonts w:cs="FrankRuehl"/>
          <w:szCs w:val="26"/>
          <w:rtl w:val="true"/>
          <w:lang w:val="en-US" w:eastAsia="en-US"/>
        </w:rPr>
        <w:t>טילים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הובלת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פצצות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מרגמה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ובנוסף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שהיה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בלתי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חוקית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בישראל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בכל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האישומים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פרט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לשני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האישומים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האחרונים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היה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קטין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העבירות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val="en-US" w:eastAsia="en-US"/>
        </w:rPr>
        <w:t>מתחם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ההולם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לעניין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האישום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הורשע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בייצור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טילים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בביתו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בתחילת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2005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היינו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לפני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כעשר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שנים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הינו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12-6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בפועל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מתחם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ההולם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באשר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שהייה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בלתי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חוקית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הינו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חודשי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אחדים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val="en-US" w:eastAsia="en-US"/>
        </w:rPr>
        <w:t>באשר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שביתר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האישומים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הגם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בוצעו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לפני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למעלה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מעשור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המדובר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כאמור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חמורות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מאוד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להטיל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בגינן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בפועל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ארוכות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לצורך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הרתעת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הרבים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שהיא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הכרחית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נוכח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המציאות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הביטחונית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הקשה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בצילה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חיים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הגם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שקטינות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אינה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מקנה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חסינות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מפני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כואבת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אין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להתעלם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מגילו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הצעיר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הנידונות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כשאת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האחרונה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כנגד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בטחון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המדינה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בהיותו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כבן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18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אין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להתעלם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מהתקופה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הארוכה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כשש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שחלפה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מאז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האחרונה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כנגד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ביטחון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המדינה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ועד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למעצרו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שהייתו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הבלתי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חוקית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בישראל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תקופה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שבמהלכה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חדל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מיוזמתו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מפעילות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כנגד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ביטחון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המדינה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rtl w:val="true"/>
          <w:lang w:val="en-US" w:eastAsia="en-US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Start w:id="9" w:name="LawTable_End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  <w:bookmarkEnd w:id="8"/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  <w:bookmarkStart w:id="10" w:name="NGCSBookmark"/>
      <w:bookmarkStart w:id="11" w:name="NGCSBookmark"/>
      <w:bookmarkEnd w:id="11"/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שניתנה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ובמסגרתם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באישום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טרוריסטי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פקודה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למניעת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טרור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1945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נשיאת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rtl w:val="true"/>
          <w:lang w:val="en-US" w:eastAsia="en-US"/>
        </w:rPr>
        <w:t>)</w:t>
      </w:r>
      <w:r>
        <w:rPr>
          <w:rFonts w:cs="Calibri" w:ascii="Calibri" w:hAnsi="Calibri"/>
          <w:rtl w:val="true"/>
          <w:lang w:val="en-US" w:eastAsia="en-US"/>
        </w:rPr>
        <w:t xml:space="preserve"> -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החוק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באישום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נשיאת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rtl w:val="true"/>
          <w:lang w:val="en-US" w:eastAsia="en-US"/>
        </w:rPr>
        <w:t>)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הרביעי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תקנה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136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לתקנות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ההגנה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לשעת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חירום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התקנות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באישום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החמישי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בהתאחדות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מותרת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תקנה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השישי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יוחסו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ייצור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rtl w:val="true"/>
          <w:lang w:val="en-US" w:eastAsia="en-US"/>
        </w:rPr>
        <w:t>)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השביעי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הובלת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rtl w:val="true"/>
          <w:lang w:val="en-US" w:eastAsia="en-US"/>
        </w:rPr>
        <w:t>)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השמיני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ייצור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באישום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התשיעי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הכניסה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לישראל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תשי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1952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המתוקן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איימן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אלסנדי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שהוכרז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טרוריסטי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30.1.86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להתעמת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יכנסו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המרוחק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900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מגבול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ורצועת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איימן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רוס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קלאצ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ניקוב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אפוד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מחסניות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נכנסו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כאפח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אלצופי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אלמזיין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אלצופי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אלנג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אר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אלסנדי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מוסא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לכיוון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באוויר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700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13.5.2004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סגרו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רפיח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חאן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אלסנדי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רוס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קלאצ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ניקוב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אפוד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ומחסניות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להתעמת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בלילה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</w:t>
      </w:r>
      <w:r>
        <w:rPr>
          <w:rFonts w:cs="Calibri" w:ascii="Calibri" w:hAnsi="Calibri"/>
          <w:rtl w:val="true"/>
          <w:lang w:val="en-US" w:eastAsia="en-US"/>
        </w:rPr>
        <w:t>" (</w:t>
      </w:r>
      <w:r>
        <w:rPr>
          <w:rFonts w:ascii="Calibri" w:hAnsi="Calibri" w:cs="Calibri"/>
          <w:rtl w:val="true"/>
          <w:lang w:val="en-US" w:eastAsia="en-US"/>
        </w:rPr>
        <w:t>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אלאקצא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הגדודים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שהוכרז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כהתאחדות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28.11.02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טרוריסטי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מחודש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אוקטובר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2000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ויתקרבו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הפעילים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חולקו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לזוגות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והופקד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כאחראי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הטמנתו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והפעלתו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לכשיגיעו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אלסנדי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קיבלו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אמאני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20-30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הטמינו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וחיברוהו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למנגנון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04:00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ארבו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אלסנדי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מרוחקים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ומחזיקים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ההפעלה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04:00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התקרב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טנק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אלסנדי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הגדול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השלישי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14.5.04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פילדלפי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טנק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ברוס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קלאצ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ניקוב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אלנג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אר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ברוס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קלאצ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ניקוב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בבטנו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העימות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אלנג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מנשקו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הטנק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ממנה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בבטנו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הרביעי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נביל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טלפוני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סטודיו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סאן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שברפיח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שהובילו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כניסתו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בארבעה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שמסרו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תצפיות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תנועת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הגבול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לחזאעה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התצפיות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וארבעת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חזאעה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התמקמו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תצפיות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תנועת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הגבול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20:00-03:00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התצפיות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מתבצעות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סריקות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עוזבים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03:00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מרסיס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ברגלו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הימנית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החמישי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אברהים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אלנמס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הגדודים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ופיצוצו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מועדים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אברהים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אלנמס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נושאים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קיזאן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אלנג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אר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הטמין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איברהים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שזהותו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למרכז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החינוכי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לעיריית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מתצפת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חשיפת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ההטמנה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cs="Calibri" w:ascii="Calibri" w:hAnsi="Calibri"/>
          <w:rtl w:val="true"/>
          <w:lang w:val="en-US" w:eastAsia="en-US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התאחדות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מותרת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חסן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אלקצאץ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וסאמי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חדאיד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וביקשו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להשכיר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שבבעלות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החדר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הציג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החדר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סירבו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לצורכיהם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שזהותו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להשכיר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והצטרף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1.20-1.50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אינץ</w:t>
      </w:r>
      <w:r>
        <w:rPr>
          <w:rFonts w:cs="Calibri" w:ascii="Calibri" w:hAnsi="Calibri"/>
          <w:rtl w:val="true"/>
          <w:lang w:val="en-US" w:eastAsia="en-US"/>
        </w:rPr>
        <w:t>'.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בתום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בחדר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חדלו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מפעילותם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השביעי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שזהותו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הלכו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איברהים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חסנין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העמיסו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הפתח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קרטונים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פצצות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מרגמה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והעבירו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הותירו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פצצות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המרגמה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השמיני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מהדי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אלפקעאוי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ואמגד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שלושת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הפעילים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וביקשו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שבבעלות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והצטרף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שלושת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הלחימו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והכינו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ההנעה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פוטסיום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והעבירו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שאטי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שיגרו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התשיעי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8.3.11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לתחומי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בירושלים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שבסיומו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לרצועת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ושוחרר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אשפוז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כשרופאיו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כארבעה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בגבו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12.3.11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עזב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מירושלים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לדהריה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ולחברון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לרמאללה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במחסומים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מחפוז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ולהתחזות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במחסומי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רמאללה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בקרן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מרכז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חזרה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במחסומים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להימנע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אבאא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ולהתחזות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ייעצר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יומיים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בדהריה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שגב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13.6.11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b/>
          <w:bCs/>
          <w:lang w:val="en-US" w:eastAsia="en-US"/>
        </w:rPr>
        <w:t>3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30.4.14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מכפירתו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שפורטו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b/>
          <w:bCs/>
          <w:lang w:val="en-US" w:eastAsia="en-US"/>
        </w:rPr>
        <w:t>4</w:t>
      </w:r>
      <w:r>
        <w:rPr>
          <w:rFonts w:cs="Calibri" w:ascii="Calibri" w:hAnsi="Calibri"/>
          <w:b/>
          <w:bCs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הטעימה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מוקדמת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2003-2011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ושהייתו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הנוגעות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חברות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טרוריסטי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פצצות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מרגמה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הטעימה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לתוקפו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10.07.12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בבוא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כמצוות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לפיו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התיקון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מלאכת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שלבית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cs="Calibri" w:ascii="Calibri" w:hAnsi="Calibri"/>
          <w:rtl w:val="true"/>
          <w:lang w:val="en-US" w:eastAsia="en-US"/>
        </w:rPr>
        <w:t>/</w:t>
      </w:r>
      <w:r>
        <w:rPr>
          <w:rFonts w:ascii="Calibri" w:hAnsi="Calibri" w:cs="Calibri"/>
          <w:rtl w:val="true"/>
          <w:lang w:val="en-US" w:eastAsia="en-US"/>
        </w:rPr>
        <w:t>היחיד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כדלהלן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והחמישי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לאויב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השביעי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והשמיני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התשיעי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והאחרון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בוחל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בהזדהות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הטעימה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נימוקים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המתפרשים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ארוכת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קטלני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שכללה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וחלקים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חייליה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ואזרחיה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מלהסתייע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ולעבוד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מארגוני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אינטנסיבית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וקטלנית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להמיט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ואזרחים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בסוגים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להכנת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שתכליתה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באזרחי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והתמדתו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מעידות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מחיר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תפקידם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להדגיש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חסרת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שכללו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עוצמה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בכוחות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ריבונותה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ומשתמש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מטרותיו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שכולן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נושאות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רצחני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ועוין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ובאזרחי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נחוש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דומיננטי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חוליה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חיונית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ומשמעותית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בנחישות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ואיפשר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ששימשו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הארגונים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מזריקת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צינור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ופיצוצם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ההתנתקות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ברצועת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וחדשות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ולצערנו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הסתיימו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בתוצאות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טרגיות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מטרת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חורבן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ולקטול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האפשר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במאבק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יומיומי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הפועלים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ותושבי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לנקוט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שנתפסו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שרשרת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לרכוש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מחרטתו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בשליטתו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למוטיבציה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ולנחישותו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לאשמת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מעורבותו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מתגמד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35">
        <w:r>
          <w:rPr>
            <w:rStyle w:val="Hyperlink"/>
            <w:rFonts w:ascii="Calibri" w:hAnsi="Calibri" w:cs="Calibri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lang w:val="en-US" w:eastAsia="en-US"/>
          </w:rPr>
          <w:t>1103/06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12.7.12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חמד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36">
        <w:r>
          <w:rPr>
            <w:rStyle w:val="Hyperlink"/>
            <w:rFonts w:ascii="Calibri" w:hAnsi="Calibri" w:cs="Calibri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lang w:val="en-US" w:eastAsia="en-US"/>
          </w:rPr>
          <w:t>1010/09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חוסאם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8.4.13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חוסאם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1057/07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צופי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18.2.13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צופי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1085/05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21.9.06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ערעורו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9078/06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27.10.08</w:t>
      </w:r>
      <w:r>
        <w:rPr>
          <w:rFonts w:cs="Calibri" w:ascii="Calibri" w:hAnsi="Calibri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1073/08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6.3.11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תצפיות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חוסאם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אימונים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חוסאם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1161/08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ושמירות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כניסת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שלמרבה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המזל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התממשה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בהזדמנות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1072/08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3.5.10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גרבה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המכוונים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וחייליה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ובייחוד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ודומיננטי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כדוגמת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ומרתיעה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העדפת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האינטרס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ההרתעה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המוגנים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שמעורבותו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באפיזודה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אידיאולוגי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ותושביה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לחומרה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מקודמו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לתכלית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שפורטו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ולהגדלת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קטלנית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בנפש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שלמרבה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המזל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אירעה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לשקף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רלוונטית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התוויית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עבירת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ניסיון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לרצח</w:t>
      </w:r>
      <w:r>
        <w:rPr>
          <w:rFonts w:cs="Calibri" w:ascii="Calibri" w:hAnsi="Calibri"/>
          <w:u w:val="single"/>
          <w:rtl w:val="true"/>
          <w:lang w:val="en-US" w:eastAsia="en-US"/>
        </w:rPr>
        <w:t>-</w:t>
      </w:r>
      <w:r>
        <w:rPr>
          <w:rFonts w:cs="Calibri" w:ascii="Calibri" w:hAnsi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הוטלו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הכוללת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כבענייננו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בעקבותיו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בערעורו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חשיבות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בקביעתו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במלאכת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הבניית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בנפרד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כמצוות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ופיצוצו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לקראת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44">
        <w:r>
          <w:rPr>
            <w:rStyle w:val="Hyperlink"/>
            <w:rFonts w:ascii="Calibri" w:hAnsi="Calibri" w:cs="Calibri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lang w:val="en-US" w:eastAsia="en-US"/>
          </w:rPr>
          <w:t>1080/08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עאדרה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26.5.10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הטמנת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פצצות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ערעורו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שנקרם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התיק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הגבול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בחומרתו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שנקבעו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מתאימים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לענייננו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עבירת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השגת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ידיעות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בעלות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ערך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צבאי</w:t>
      </w:r>
      <w:r>
        <w:rPr>
          <w:rFonts w:cs="Calibri" w:ascii="Calibri" w:hAnsi="Calibri"/>
          <w:u w:val="single"/>
          <w:rtl w:val="true"/>
          <w:lang w:val="en-US" w:eastAsia="en-US"/>
        </w:rPr>
        <w:t>-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כדוגמת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ובפרט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קונקרטיים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הנוטלים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במאמצי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ותושביה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חזקה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הטרור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במיוחד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הזרועות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הצבאיות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התוצאה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לאויב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1244/08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עווידאת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18.6.08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והכפיל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פ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בהתאגדות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1127/07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19.11.08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נידון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4.5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1041/08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30.3.09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שיברח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והפחית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התחשבות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פרמטרים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מתגמדות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במשקלן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והסיכונים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9349/07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23.6.08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6500/10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11.4.11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והותירו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10.5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והפסיק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1025/08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אלצופי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הוטלו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פועלו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שהניחו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חמורים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6154/08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ענאיים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24.6.10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ענאיים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חגורת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נפץ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להבדיל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לבגירות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בגילאים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והיחיד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וחומרתם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ונפרדים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שיצטברו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הסדרתיים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לזקוף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התוצאה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לכוונתו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הכולל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לשיטתה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ממושך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lang w:val="en-US" w:eastAsia="en-US"/>
        </w:rPr>
        <w:t>5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ההגנה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1-8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הביטחוניים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מתחתן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מתחיל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הדרך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חלפו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נשאלת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השאלה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ינטוש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לשיטת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העתידית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בפאזה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שהתרחשו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2003-2005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התרחשו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המרכזי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התרחשות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וממנה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בחקירתו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ואפילו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בחקירת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שטח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שמכיר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השמיני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התיישנו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להתיישן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מיוזמתו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והרביעי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חיכוך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בבטנו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השמיני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לירושלים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הקליע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מבטנו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שבודק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המבקשים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להיכנס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להיכנס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להישאר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סכסוכים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והתנכלויות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החמאס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ולחיות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מתברר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הכניס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לארץ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תחת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הרדאר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יתירה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הסתובב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מחקירתו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מתנכלים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שתפקידה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לערוך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סטטיסטיקה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השלטון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בבטנו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חומר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הפציעה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לעזוב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הארגון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2005</w:t>
      </w:r>
      <w:r>
        <w:rPr>
          <w:rFonts w:cs="Calibri" w:ascii="Calibri" w:hAnsi="Calibri"/>
          <w:rtl w:val="true"/>
          <w:lang w:val="en-US" w:eastAsia="en-US"/>
        </w:rPr>
        <w:t xml:space="preserve"> -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הפציעה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מיוזמתו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לעזוב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הארגון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באוויר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לכיוון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לשיטתו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נמחקה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ברגלו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הימנית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הושמטה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ותפקידו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לתצפת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נמשכות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נמחקה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שיפוטי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בעמותה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מטעמו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8300/09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עטאללה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9.10.12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פסיקתו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ועברות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רימונים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נזרקו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והופעלו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טנקים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שהטמין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3140/10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25.11.12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התרחשותם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מאישומיו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מבענייננו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והוטלו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1056/07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טוויל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19.9.10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לבסוף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הפרקליטות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1090/07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מטלק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17.5.10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25902-12-10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אשקר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9.10.12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שבשניהם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7.5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שהציעה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מתאימים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בהתבסס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שהגיש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מפסקי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תלוי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ועומד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בחלקם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1072/08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התערב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לשיטתו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6500/10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במטענים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שהונחו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פילדלפי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יודעים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חגורת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הנפץ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6154/08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ענאיים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במתאבד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בחומרתו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בקטין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דברי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הנאשם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לבית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המשפט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ממתין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להזדמנות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נולד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אכסניה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לצעירים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שתטפל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להיפך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המגיעים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ומגייסים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שהשכל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והשיפוט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שנמשכה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בזבז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ומבחינתו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כשלטענתו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בזבז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זמנו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כשנפצע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כשאיבד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סובל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באוניברסיטה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מחשבותיו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בעמותות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ולימד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ילדים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דמוקרטיה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ושלום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שוויון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וסלחנות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חיובי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להשפיע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להוכיח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לילדים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הביתה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רשמי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אזרחי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הרפואי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ולשיטתו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מחלה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שיקל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ארוכה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טרוריסטי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הפת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באוויר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פעילותו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שהטמין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בהשגת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בתצפיות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ופיצוצו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פוצץ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תלויות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שנמשכו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שוגרו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בהזדמנות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העמיסו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פצצות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מרגמה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יונס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13.6.11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eastAsia="Calibri"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השמיני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והתשיעי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והתשיעי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השמיני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השוו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3677/13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אלהרוש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9.12.14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לצרכי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פרנסה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השביעי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ארוכות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הכרחית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המציאות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3140/10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25.11.12</w:t>
      </w:r>
      <w:r>
        <w:rPr>
          <w:rFonts w:cs="Calibri" w:ascii="Calibri" w:hAnsi="Calibri"/>
          <w:rtl w:val="true"/>
          <w:lang w:val="en-US" w:eastAsia="en-US"/>
        </w:rPr>
        <w:t xml:space="preserve">):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נדמה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חולק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שאינטרס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הציבור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המכריע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לנוכח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אתגרי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השעה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תפקידו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להגן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שלומו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הציבור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וביטחון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המדינה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ולמגר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תופעת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הטרור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באמצעות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מחמירה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).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שקטינות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חסינות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כואבת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להתעלם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הנידונות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להתעלם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הארוכה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שחלפה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שבמהלכה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מיוזמתו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מסוכנותו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השוו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629/14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25.2.15</w:t>
      </w:r>
      <w:r>
        <w:rPr>
          <w:rFonts w:cs="Calibri" w:ascii="Calibri" w:hAnsi="Calibri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כניסתו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מעניינם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שנידונו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שעדיין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שקלנו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לקיחת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בפנינו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ששקלנו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ואת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טענות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לעונש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כולל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של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cs="Calibri" w:ascii="Calibri" w:hAnsi="Calibri"/>
          <w:u w:val="single"/>
          <w:lang w:val="en-US" w:eastAsia="en-US"/>
        </w:rPr>
        <w:t>9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שנות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מאסר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שמניינן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13.6.11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ניתנה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אדר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מרץ </w:t>
      </w:r>
      <w:r>
        <w:rPr>
          <w:rFonts w:cs="Arial" w:ascii="Arial" w:hAnsi="Arial"/>
          <w:b/>
          <w:bCs/>
          <w:lang w:val="en-US" w:eastAsia="en-US"/>
        </w:rPr>
        <w:t>2015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בהעדר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22343-07-11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גרגאווי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3729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3729/136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72515/3" TargetMode="External"/><Relationship Id="rId18" Type="http://schemas.openxmlformats.org/officeDocument/2006/relationships/hyperlink" Target="http://www.nevo.co.il/law/72515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5.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3729/136" TargetMode="External"/><Relationship Id="rId24" Type="http://schemas.openxmlformats.org/officeDocument/2006/relationships/hyperlink" Target="http://www.nevo.co.il/law/73729" TargetMode="External"/><Relationship Id="rId25" Type="http://schemas.openxmlformats.org/officeDocument/2006/relationships/hyperlink" Target="http://www.nevo.co.il/law/73729/85.1.a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90721/12.1" TargetMode="External"/><Relationship Id="rId30" Type="http://schemas.openxmlformats.org/officeDocument/2006/relationships/hyperlink" Target="http://www.nevo.co.il/law/90721" TargetMode="External"/><Relationship Id="rId31" Type="http://schemas.openxmlformats.org/officeDocument/2006/relationships/hyperlink" Target="http://www.nevo.co.il/law/70301/40c" TargetMode="External"/><Relationship Id="rId32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law/70301/40c.a" TargetMode="External"/><Relationship Id="rId34" Type="http://schemas.openxmlformats.org/officeDocument/2006/relationships/hyperlink" Target="http://www.nevo.co.il/law/70301/40c.b" TargetMode="External"/><Relationship Id="rId35" Type="http://schemas.openxmlformats.org/officeDocument/2006/relationships/hyperlink" Target="http://www.nevo.co.il/case/2378644" TargetMode="External"/><Relationship Id="rId36" Type="http://schemas.openxmlformats.org/officeDocument/2006/relationships/hyperlink" Target="http://www.nevo.co.il/case/2374680" TargetMode="External"/><Relationship Id="rId37" Type="http://schemas.openxmlformats.org/officeDocument/2006/relationships/hyperlink" Target="http://www.nevo.co.il/case/2533802" TargetMode="External"/><Relationship Id="rId38" Type="http://schemas.openxmlformats.org/officeDocument/2006/relationships/hyperlink" Target="http://www.nevo.co.il/case/6144573" TargetMode="External"/><Relationship Id="rId39" Type="http://schemas.openxmlformats.org/officeDocument/2006/relationships/hyperlink" Target="http://www.nevo.co.il/case/6144574" TargetMode="External"/><Relationship Id="rId40" Type="http://schemas.openxmlformats.org/officeDocument/2006/relationships/hyperlink" Target="http://www.nevo.co.il/case/2538044" TargetMode="External"/><Relationship Id="rId41" Type="http://schemas.openxmlformats.org/officeDocument/2006/relationships/hyperlink" Target="http://www.nevo.co.il/case/2374906" TargetMode="External"/><Relationship Id="rId42" Type="http://schemas.openxmlformats.org/officeDocument/2006/relationships/hyperlink" Target="http://www.nevo.co.il/case/2535084" TargetMode="External"/><Relationship Id="rId43" Type="http://schemas.openxmlformats.org/officeDocument/2006/relationships/hyperlink" Target="http://www.nevo.co.il/law/70301/40c" TargetMode="External"/><Relationship Id="rId44" Type="http://schemas.openxmlformats.org/officeDocument/2006/relationships/hyperlink" Target="http://www.nevo.co.il/case/2373872" TargetMode="External"/><Relationship Id="rId45" Type="http://schemas.openxmlformats.org/officeDocument/2006/relationships/hyperlink" Target="http://www.nevo.co.il/case/5755955" TargetMode="External"/><Relationship Id="rId46" Type="http://schemas.openxmlformats.org/officeDocument/2006/relationships/hyperlink" Target="http://www.nevo.co.il/case/542236" TargetMode="External"/><Relationship Id="rId47" Type="http://schemas.openxmlformats.org/officeDocument/2006/relationships/hyperlink" Target="http://www.nevo.co.il/case/2134925" TargetMode="External"/><Relationship Id="rId48" Type="http://schemas.openxmlformats.org/officeDocument/2006/relationships/hyperlink" Target="http://www.nevo.co.il/case/6150971" TargetMode="External"/><Relationship Id="rId49" Type="http://schemas.openxmlformats.org/officeDocument/2006/relationships/hyperlink" Target="http://www.nevo.co.il/case/5818775" TargetMode="External"/><Relationship Id="rId50" Type="http://schemas.openxmlformats.org/officeDocument/2006/relationships/hyperlink" Target="http://www.nevo.co.il/case/2541769" TargetMode="External"/><Relationship Id="rId51" Type="http://schemas.openxmlformats.org/officeDocument/2006/relationships/hyperlink" Target="http://www.nevo.co.il/case/5782107" TargetMode="External"/><Relationship Id="rId52" Type="http://schemas.openxmlformats.org/officeDocument/2006/relationships/hyperlink" Target="http://www.nevo.co.il/case/4164393" TargetMode="External"/><Relationship Id="rId53" Type="http://schemas.openxmlformats.org/officeDocument/2006/relationships/hyperlink" Target="http://www.nevo.co.il/case/6244735" TargetMode="External"/><Relationship Id="rId54" Type="http://schemas.openxmlformats.org/officeDocument/2006/relationships/hyperlink" Target="http://www.nevo.co.il/case/2528814" TargetMode="External"/><Relationship Id="rId55" Type="http://schemas.openxmlformats.org/officeDocument/2006/relationships/hyperlink" Target="http://www.nevo.co.il/case/2379037" TargetMode="External"/><Relationship Id="rId56" Type="http://schemas.openxmlformats.org/officeDocument/2006/relationships/hyperlink" Target="http://www.nevo.co.il/case/4391037" TargetMode="External"/><Relationship Id="rId57" Type="http://schemas.openxmlformats.org/officeDocument/2006/relationships/hyperlink" Target="http://www.nevo.co.il/case/2535084" TargetMode="External"/><Relationship Id="rId58" Type="http://schemas.openxmlformats.org/officeDocument/2006/relationships/hyperlink" Target="http://www.nevo.co.il/case/5818775" TargetMode="External"/><Relationship Id="rId59" Type="http://schemas.openxmlformats.org/officeDocument/2006/relationships/hyperlink" Target="http://www.nevo.co.il/case/5782107" TargetMode="External"/><Relationship Id="rId60" Type="http://schemas.openxmlformats.org/officeDocument/2006/relationships/hyperlink" Target="http://www.nevo.co.il/case/7691216" TargetMode="External"/><Relationship Id="rId61" Type="http://schemas.openxmlformats.org/officeDocument/2006/relationships/hyperlink" Target="http://www.nevo.co.il/case/6244735" TargetMode="External"/><Relationship Id="rId62" Type="http://schemas.openxmlformats.org/officeDocument/2006/relationships/hyperlink" Target="http://www.nevo.co.il/case/20053664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2015-03-23T11:06:00Z</dcterms:created>
  <dc:creator> </dc:creator>
  <dc:description/>
  <cp:keywords/>
  <dc:language>en-IL</dc:language>
  <cp:lastModifiedBy>orly</cp:lastModifiedBy>
  <dcterms:modified xsi:type="dcterms:W3CDTF">2015-03-23T11:06:00Z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גרגאווי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ProcID=210&amp;PartA=1103&amp;PartC=06</vt:lpwstr>
  </property>
  <property fmtid="{D5CDD505-2E9C-101B-9397-08002B2CF9AE}" pid="9" name="CASENOTES10">
    <vt:lpwstr>ProcID=210&amp;PartA=1041&amp;PartC=08</vt:lpwstr>
  </property>
  <property fmtid="{D5CDD505-2E9C-101B-9397-08002B2CF9AE}" pid="10" name="CASENOTES2">
    <vt:lpwstr>ProcID=210&amp;PartA=1010&amp;PartC=09</vt:lpwstr>
  </property>
  <property fmtid="{D5CDD505-2E9C-101B-9397-08002B2CF9AE}" pid="11" name="CASENOTES3">
    <vt:lpwstr>ProcID=210&amp;PartA=1057&amp;PartC=07</vt:lpwstr>
  </property>
  <property fmtid="{D5CDD505-2E9C-101B-9397-08002B2CF9AE}" pid="12" name="CASENOTES4">
    <vt:lpwstr>ProcID=210&amp;PartA=1073&amp;PartC=08</vt:lpwstr>
  </property>
  <property fmtid="{D5CDD505-2E9C-101B-9397-08002B2CF9AE}" pid="13" name="CASENOTES5">
    <vt:lpwstr>ProcID=210&amp;PartA=1080&amp;PartC=08</vt:lpwstr>
  </property>
  <property fmtid="{D5CDD505-2E9C-101B-9397-08002B2CF9AE}" pid="14" name="CASENOTES6">
    <vt:lpwstr>ProcID=210&amp;PartA=1025&amp;PartC=08</vt:lpwstr>
  </property>
  <property fmtid="{D5CDD505-2E9C-101B-9397-08002B2CF9AE}" pid="15" name="CASENOTES7">
    <vt:lpwstr>ProcID=210&amp;PartA=1056&amp;PartC=07</vt:lpwstr>
  </property>
  <property fmtid="{D5CDD505-2E9C-101B-9397-08002B2CF9AE}" pid="16" name="CASENOTES8">
    <vt:lpwstr>ProcID=133&amp;PartA=8300&amp;PartC=09</vt:lpwstr>
  </property>
  <property fmtid="{D5CDD505-2E9C-101B-9397-08002B2CF9AE}" pid="17" name="CASENOTES9">
    <vt:lpwstr>ProcID=210&amp;PartA=1127&amp;PartC=07</vt:lpwstr>
  </property>
  <property fmtid="{D5CDD505-2E9C-101B-9397-08002B2CF9AE}" pid="18" name="CASESLISTTMP1">
    <vt:lpwstr>6144573;6144574;2374906;2535084:2;5755955;6150971;5818775:2;5782107:2;6244735:2;2379037;4391037;7691216;20053664</vt:lpwstr>
  </property>
  <property fmtid="{D5CDD505-2E9C-101B-9397-08002B2CF9AE}" pid="19" name="CITY">
    <vt:lpwstr>ב"ש</vt:lpwstr>
  </property>
  <property fmtid="{D5CDD505-2E9C-101B-9397-08002B2CF9AE}" pid="20" name="DATE">
    <vt:lpwstr>20150311</vt:lpwstr>
  </property>
  <property fmtid="{D5CDD505-2E9C-101B-9397-08002B2CF9AE}" pid="21" name="DELEMATA">
    <vt:lpwstr/>
  </property>
  <property fmtid="{D5CDD505-2E9C-101B-9397-08002B2CF9AE}" pid="22" name="ISABSTRACT">
    <vt:lpwstr>Y</vt:lpwstr>
  </property>
  <property fmtid="{D5CDD505-2E9C-101B-9397-08002B2CF9AE}" pid="23" name="JUDGE">
    <vt:lpwstr>חני סלוטקי;מרדכי לוי;אריאל חזק</vt:lpwstr>
  </property>
  <property fmtid="{D5CDD505-2E9C-101B-9397-08002B2CF9AE}" pid="24" name="LAWLISTTMP1">
    <vt:lpwstr>72515/003</vt:lpwstr>
  </property>
  <property fmtid="{D5CDD505-2E9C-101B-9397-08002B2CF9AE}" pid="25" name="LAWLISTTMP2">
    <vt:lpwstr>70301/144.b:3;305.1;144.b2:2;040c:2;040b;040c.a;040c.b</vt:lpwstr>
  </property>
  <property fmtid="{D5CDD505-2E9C-101B-9397-08002B2CF9AE}" pid="26" name="LAWLISTTMP3">
    <vt:lpwstr>73729/136;085.1.a</vt:lpwstr>
  </property>
  <property fmtid="{D5CDD505-2E9C-101B-9397-08002B2CF9AE}" pid="27" name="LAWLISTTMP4">
    <vt:lpwstr>90721/012.1</vt:lpwstr>
  </property>
  <property fmtid="{D5CDD505-2E9C-101B-9397-08002B2CF9AE}" pid="28" name="LAWYER">
    <vt:lpwstr>אלכס דרנבוים ;מחמד ג'בארין</vt:lpwstr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METAKZER">
    <vt:lpwstr>עומרי</vt:lpwstr>
  </property>
  <property fmtid="{D5CDD505-2E9C-101B-9397-08002B2CF9AE}" pid="35" name="NEWPARTA">
    <vt:lpwstr>22343</vt:lpwstr>
  </property>
  <property fmtid="{D5CDD505-2E9C-101B-9397-08002B2CF9AE}" pid="36" name="NEWPARTB">
    <vt:lpwstr>07</vt:lpwstr>
  </property>
  <property fmtid="{D5CDD505-2E9C-101B-9397-08002B2CF9AE}" pid="37" name="NEWPARTC">
    <vt:lpwstr>11</vt:lpwstr>
  </property>
  <property fmtid="{D5CDD505-2E9C-101B-9397-08002B2CF9AE}" pid="38" name="NEWPROC">
    <vt:lpwstr>תפח</vt:lpwstr>
  </property>
  <property fmtid="{D5CDD505-2E9C-101B-9397-08002B2CF9AE}" pid="39" name="NOSE11">
    <vt:lpwstr>עונשין</vt:lpwstr>
  </property>
  <property fmtid="{D5CDD505-2E9C-101B-9397-08002B2CF9AE}" pid="40" name="NOSE110">
    <vt:lpwstr/>
  </property>
  <property fmtid="{D5CDD505-2E9C-101B-9397-08002B2CF9AE}" pid="41" name="NOSE12">
    <vt:lpwstr>עונשין</vt:lpwstr>
  </property>
  <property fmtid="{D5CDD505-2E9C-101B-9397-08002B2CF9AE}" pid="42" name="NOSE13">
    <vt:lpwstr/>
  </property>
  <property fmtid="{D5CDD505-2E9C-101B-9397-08002B2CF9AE}" pid="43" name="NOSE14">
    <vt:lpwstr/>
  </property>
  <property fmtid="{D5CDD505-2E9C-101B-9397-08002B2CF9AE}" pid="44" name="NOSE15">
    <vt:lpwstr/>
  </property>
  <property fmtid="{D5CDD505-2E9C-101B-9397-08002B2CF9AE}" pid="45" name="NOSE16">
    <vt:lpwstr/>
  </property>
  <property fmtid="{D5CDD505-2E9C-101B-9397-08002B2CF9AE}" pid="46" name="NOSE17">
    <vt:lpwstr/>
  </property>
  <property fmtid="{D5CDD505-2E9C-101B-9397-08002B2CF9AE}" pid="47" name="NOSE18">
    <vt:lpwstr/>
  </property>
  <property fmtid="{D5CDD505-2E9C-101B-9397-08002B2CF9AE}" pid="48" name="NOSE19">
    <vt:lpwstr/>
  </property>
  <property fmtid="{D5CDD505-2E9C-101B-9397-08002B2CF9AE}" pid="49" name="NOSE1ID">
    <vt:lpwstr>77;77</vt:lpwstr>
  </property>
  <property fmtid="{D5CDD505-2E9C-101B-9397-08002B2CF9AE}" pid="50" name="NOSE21">
    <vt:lpwstr>ענישה</vt:lpwstr>
  </property>
  <property fmtid="{D5CDD505-2E9C-101B-9397-08002B2CF9AE}" pid="51" name="NOSE210">
    <vt:lpwstr/>
  </property>
  <property fmtid="{D5CDD505-2E9C-101B-9397-08002B2CF9AE}" pid="52" name="NOSE22">
    <vt:lpwstr>ענישה</vt:lpwstr>
  </property>
  <property fmtid="{D5CDD505-2E9C-101B-9397-08002B2CF9AE}" pid="53" name="NOSE23">
    <vt:lpwstr/>
  </property>
  <property fmtid="{D5CDD505-2E9C-101B-9397-08002B2CF9AE}" pid="54" name="NOSE24">
    <vt:lpwstr/>
  </property>
  <property fmtid="{D5CDD505-2E9C-101B-9397-08002B2CF9AE}" pid="55" name="NOSE25">
    <vt:lpwstr/>
  </property>
  <property fmtid="{D5CDD505-2E9C-101B-9397-08002B2CF9AE}" pid="56" name="NOSE26">
    <vt:lpwstr/>
  </property>
  <property fmtid="{D5CDD505-2E9C-101B-9397-08002B2CF9AE}" pid="57" name="NOSE27">
    <vt:lpwstr/>
  </property>
  <property fmtid="{D5CDD505-2E9C-101B-9397-08002B2CF9AE}" pid="58" name="NOSE28">
    <vt:lpwstr/>
  </property>
  <property fmtid="{D5CDD505-2E9C-101B-9397-08002B2CF9AE}" pid="59" name="NOSE29">
    <vt:lpwstr/>
  </property>
  <property fmtid="{D5CDD505-2E9C-101B-9397-08002B2CF9AE}" pid="60" name="NOSE2ID">
    <vt:lpwstr>1446;1446</vt:lpwstr>
  </property>
  <property fmtid="{D5CDD505-2E9C-101B-9397-08002B2CF9AE}" pid="61" name="NOSE31">
    <vt:lpwstr>מדיניות ענישה: שיקולים לקולה</vt:lpwstr>
  </property>
  <property fmtid="{D5CDD505-2E9C-101B-9397-08002B2CF9AE}" pid="62" name="NOSE310">
    <vt:lpwstr/>
  </property>
  <property fmtid="{D5CDD505-2E9C-101B-9397-08002B2CF9AE}" pid="63" name="NOSE32">
    <vt:lpwstr>מדיניות ענישה: עבירות ביטחון</vt:lpwstr>
  </property>
  <property fmtid="{D5CDD505-2E9C-101B-9397-08002B2CF9AE}" pid="64" name="NOSE33">
    <vt:lpwstr/>
  </property>
  <property fmtid="{D5CDD505-2E9C-101B-9397-08002B2CF9AE}" pid="65" name="NOSE34">
    <vt:lpwstr/>
  </property>
  <property fmtid="{D5CDD505-2E9C-101B-9397-08002B2CF9AE}" pid="66" name="NOSE35">
    <vt:lpwstr/>
  </property>
  <property fmtid="{D5CDD505-2E9C-101B-9397-08002B2CF9AE}" pid="67" name="NOSE36">
    <vt:lpwstr/>
  </property>
  <property fmtid="{D5CDD505-2E9C-101B-9397-08002B2CF9AE}" pid="68" name="NOSE37">
    <vt:lpwstr/>
  </property>
  <property fmtid="{D5CDD505-2E9C-101B-9397-08002B2CF9AE}" pid="69" name="NOSE38">
    <vt:lpwstr/>
  </property>
  <property fmtid="{D5CDD505-2E9C-101B-9397-08002B2CF9AE}" pid="70" name="NOSE39">
    <vt:lpwstr/>
  </property>
  <property fmtid="{D5CDD505-2E9C-101B-9397-08002B2CF9AE}" pid="71" name="NOSE3ID">
    <vt:lpwstr>8996;8985</vt:lpwstr>
  </property>
  <property fmtid="{D5CDD505-2E9C-101B-9397-08002B2CF9AE}" pid="72" name="PADIDATE">
    <vt:lpwstr>20150323</vt:lpwstr>
  </property>
  <property fmtid="{D5CDD505-2E9C-101B-9397-08002B2CF9AE}" pid="73" name="PADIMAIL">
    <vt:lpwstr>YES</vt:lpwstr>
  </property>
  <property fmtid="{D5CDD505-2E9C-101B-9397-08002B2CF9AE}" pid="74" name="PAGE">
    <vt:lpwstr/>
  </property>
  <property fmtid="{D5CDD505-2E9C-101B-9397-08002B2CF9AE}" pid="75" name="PART">
    <vt:lpwstr/>
  </property>
  <property fmtid="{D5CDD505-2E9C-101B-9397-08002B2CF9AE}" pid="76" name="PROCESS">
    <vt:lpwstr/>
  </property>
  <property fmtid="{D5CDD505-2E9C-101B-9397-08002B2CF9AE}" pid="77" name="PROCNUM">
    <vt:lpwstr/>
  </property>
  <property fmtid="{D5CDD505-2E9C-101B-9397-08002B2CF9AE}" pid="78" name="PROCYEAR">
    <vt:lpwstr/>
  </property>
  <property fmtid="{D5CDD505-2E9C-101B-9397-08002B2CF9AE}" pid="79" name="PSAKDIN">
    <vt:lpwstr>גזר-דין</vt:lpwstr>
  </property>
  <property fmtid="{D5CDD505-2E9C-101B-9397-08002B2CF9AE}" pid="80" name="TYPE">
    <vt:lpwstr>2</vt:lpwstr>
  </property>
  <property fmtid="{D5CDD505-2E9C-101B-9397-08002B2CF9AE}" pid="81" name="TYPE_ABS_DATE">
    <vt:lpwstr>390120150311</vt:lpwstr>
  </property>
  <property fmtid="{D5CDD505-2E9C-101B-9397-08002B2CF9AE}" pid="82" name="TYPE_N_DATE">
    <vt:lpwstr>39020150311</vt:lpwstr>
  </property>
  <property fmtid="{D5CDD505-2E9C-101B-9397-08002B2CF9AE}" pid="83" name="VOLUME">
    <vt:lpwstr/>
  </property>
  <property fmtid="{D5CDD505-2E9C-101B-9397-08002B2CF9AE}" pid="84" name="WORDNUMPAGES">
    <vt:lpwstr>17</vt:lpwstr>
  </property>
</Properties>
</file>