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4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24905-02-18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23202-01-20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מיסוי וכלכלה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הילה גבאי ועידו נולמן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7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אבירן ערבה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19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קשרץ תקשורת בע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משה שמיר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בתופעת השימוש בחומרים מסכנים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2013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בעניין נאשמים </w:t>
      </w:r>
      <w:r>
        <w:rPr>
          <w:rFonts w:cs="David" w:ascii="David" w:hAnsi="David"/>
          <w:b/>
          <w:bCs/>
          <w:sz w:val="32"/>
          <w:szCs w:val="32"/>
          <w:u w:val="single"/>
        </w:rPr>
        <w:t>7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ו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  <w:u w:val="single"/>
        </w:rPr>
        <w:t>19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והנאשמת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חברת קשרץ בע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חברת קשרץ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הורשעו על פי הודאתם בעבירות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20"/>
        <w:ind w:firstLine="707" w:end="0"/>
        <w:jc w:val="start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בפרק הראשון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אישומי המס</w:t>
      </w:r>
      <w:r>
        <w:rPr>
          <w:rFonts w:cs="David" w:ascii="David" w:hAnsi="David"/>
          <w:b/>
          <w:bCs/>
          <w:u w:val="single"/>
          <w:rtl w:val="true"/>
        </w:rPr>
        <w:t xml:space="preserve">), </w:t>
      </w:r>
      <w:r>
        <w:rPr>
          <w:rFonts w:ascii="David" w:hAnsi="David"/>
          <w:b/>
          <w:b/>
          <w:bCs/>
          <w:u w:val="single"/>
          <w:rtl w:val="true"/>
        </w:rPr>
        <w:t>באישומים השני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השלישי והרביעי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bookmarkStart w:id="10" w:name="ABSTRACT_START"/>
      <w:bookmarkEnd w:id="10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מסירת ידיעה כוזבת או מסירת דו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אחר הכוללים ידיעה כאמור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סעיף </w:t>
      </w:r>
      <w:hyperlink r:id="rId24"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מס ערך מוסף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הוצאת חשבונית מס או מסמך הנחזה כחשבונית מס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מבלי שעשה או התחייב לעשות עסקה שלגביה הוציא את החשבונית או המסמך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הכנה וקיום של פנקסי חשבונות כוזבים בקשר למע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3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שימוש בכל מרמה או תחבולה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8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3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מסירת אמרה או תרשומת כוזבת בדו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שנערך על פי </w:t>
      </w:r>
      <w:hyperlink r:id="rId3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 מס הכנסה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בפקודת </w:t>
      </w:r>
      <w:bookmarkStart w:id="11" w:name="ABSTRACT_END"/>
      <w:bookmarkEnd w:id="11"/>
      <w:r>
        <w:rPr>
          <w:rFonts w:ascii="David" w:hAnsi="David" w:cs="David"/>
          <w:sz w:val="24"/>
          <w:sz w:val="24"/>
          <w:szCs w:val="24"/>
          <w:rtl w:val="true"/>
        </w:rPr>
        <w:t xml:space="preserve">מס הכנסה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1961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פקודת מס הכנסה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הכנה וקיום של פנקסי חשבונות ורשומות כוזבים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בפקודה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שימוש במרמה ותחבולה בכוונה להתחמק ממס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בפקודה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פעולה במטרה להביא לכך שאדם אחר יתחמק או ישתמט מתשלום מס שאותו אדם חייב בו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start="707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באישום החמישי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הורשעו בעבירות האמורות לעיל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וכן בעבירה הבאה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ניכוי מס תשומות מבלי שיש לגביו מסמך כאמור </w:t>
      </w:r>
      <w:hyperlink r:id="rId42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b/>
            <w:bCs/>
            <w:sz w:val="24"/>
            <w:szCs w:val="24"/>
          </w:rPr>
          <w:t>38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4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מע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start="707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באישום השישי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 שפעל במטרה להביא לכך שאדם אחר יתחמק או ישתמט מתשלום מס שאותו אדם חייב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בנסיבות מחמירות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ביחד עם </w:t>
      </w:r>
      <w:hyperlink r:id="rId47">
        <w:r>
          <w:rPr>
            <w:rStyle w:val="Hyperlink"/>
            <w:rFonts w:cs="David" w:ascii="David" w:hAnsi="David"/>
            <w:sz w:val="24"/>
            <w:szCs w:val="24"/>
          </w:rPr>
          <w:t>117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אדם שבמזיד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בכוונה להתחמק ממס או לעזור לאדם אחר להתחמק ממס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הכין או קיים או הרשה לאדם להכין או לקיים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פנקסי חשבונות כוזבים או רשומות אחרות כוזבות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סעיף </w:t>
      </w:r>
      <w:r>
        <w:rPr>
          <w:rFonts w:cs="David" w:ascii="David" w:hAnsi="David"/>
          <w:sz w:val="24"/>
          <w:szCs w:val="24"/>
        </w:rPr>
        <w:t>220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בפקודה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אדם שבמזיד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בכוונה להתחמק ממס או לעזור לאדם אחר להתחמק ממס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השתמש בכל מרמה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עורמה או תחבולה או הרשה להשתמש בהן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בפקודה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12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בפרק השלישי – הלבנת הון – חשבוניות המס הכוזבות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עשיית פעולה ברכוש במטרה להסתיר או להסוות את מקורו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זהות בעלי הזכויות 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 מיקומו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את תנועותיו או עשיית פעולה בו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2000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hanging="284" w:start="991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עשיית פעולה ברכוש אסור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הלבנת הון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מחודש ינואר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לפתיחת החקירה הגלויה ביום </w:t>
      </w:r>
      <w:r>
        <w:rPr>
          <w:rFonts w:cs="David" w:ascii="David" w:hAnsi="David"/>
          <w:sz w:val="24"/>
          <w:szCs w:val="24"/>
        </w:rPr>
        <w:t>16.1.18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חברו הנאשמים </w:t>
      </w:r>
      <w:r>
        <w:rPr>
          <w:rFonts w:cs="David" w:ascii="David" w:hAnsi="David"/>
          <w:sz w:val="24"/>
          <w:szCs w:val="24"/>
        </w:rPr>
        <w:t>3-1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הנאשמים </w:t>
      </w:r>
      <w:r>
        <w:rPr>
          <w:rFonts w:cs="David" w:ascii="David" w:hAnsi="David"/>
          <w:sz w:val="24"/>
          <w:szCs w:val="24"/>
        </w:rPr>
        <w:t>5-4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11-7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ואחרים לצורך ביצועה של תוכנית עבריינית רחבת היקף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במסגרתה ביצעו עבירות שונות כל אחד על פי חלקו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ביניהן מכירת חשבוניות מס כוזבות לכל דורש בהיקף של מאות מיליוני ₪ בתמורה לקבלת תשלומי עמלה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ניכוי תשומות על סמך מסמכים כוזבים בהיקף של מאות מיליוני ₪ והלבנת הון בהיקף של מאות מיליוני 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לצורך מימוש התוכנית העבריינית התקשרו הנאשמים עם לקוחות להם מכרו מסמכים הנחזים להיות חשבוניות מס שהוצאו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מבלי שבוצעה עסקה או מבלי שהתכוונו לעשות את העסקאות שלגביהן הוצאו המסמכים כאמור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חשבוניות המס הכוזבות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וזאת בין היתר כדי שיתאפשר ללקוחות להגדיל באמצעותן באופן פיקטיבי את הוצאותיהם לצרכי מס הכנסה ולנכות את החשבוניות הכוזבות בדיווחים למע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נרשם בהנחייתו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וכחלק מתפקידו בתכנית העבריינית כבעליה של חברת הכיסוי קשרץ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חלקו בתכנית העבריינית חתם הנאשם על מסמכי ההתקשרות מול הלקוחות ומול חברות ההפצה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להוראות הנאשמים והנאשם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חשבוניות מס כוזבות על שם חברת קשרץ הרשומה בבעלותו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להנחיית הנאשמים </w:t>
      </w:r>
      <w:r>
        <w:rPr>
          <w:rFonts w:cs="David" w:ascii="David" w:hAnsi="David"/>
          <w:sz w:val="24"/>
          <w:szCs w:val="24"/>
        </w:rPr>
        <w:t>3-1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ואחרים וכן פעל מול נותני שירותי המטבע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עובדות הפרק הראשון – באישום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בתקופה שבין חודש אוגוסט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לחודש אוקטובר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הוציא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חברת קינג דיוויד תעשיות חשבוניות מס כוזבות ללקוחות שונים באמצעות הנאשם ונאשמים אחרים זאת מבלי שנעשתה כל עסקה או סופק כל שירות כנגד החשבוניות והכל בתמורה לעמלה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היה הבעלים הרשום של חברת קשרץ שנמנתה על מערך חברות הכסות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היה מי שבפועל התווה את פעילות החברה בדרך של הוצאת חשבוניות מס כוזבות עבור חברות ההפצה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כחלק מהתוכנית העבריינית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הוציאו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ומי מהנאשמים האחרים באמצעות הנאשם וחברת קשרץ חשבוניות מס כוזבות אותן כללו בספרי הנהלת חשבונות של חברת קינג דיוויד תעשיות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בדרך זו כללו מי מהנאשמים והנאשם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באמצעות הנאשם חשבוניות מס כוזבות בספרי חב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קינג דיוויד תעשיות סכום שאינו פחות מסך של </w:t>
      </w:r>
      <w:r>
        <w:rPr>
          <w:rFonts w:cs="David" w:ascii="David" w:hAnsi="David"/>
          <w:b/>
          <w:bCs/>
          <w:sz w:val="24"/>
          <w:szCs w:val="24"/>
        </w:rPr>
        <w:t>155.9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מיליון ₪ שהמס הגלום בהם מגיע לכדי </w:t>
      </w:r>
      <w:r>
        <w:rPr>
          <w:rFonts w:cs="David" w:ascii="David" w:hAnsi="David"/>
          <w:b/>
          <w:bCs/>
          <w:sz w:val="24"/>
          <w:szCs w:val="24"/>
        </w:rPr>
        <w:t>22.6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מיליון 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בתמורה לחשבוניות המס הכוזבות שהוציא הנאשם על שם חברת קשרץ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הנפיק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להוראות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המחאות המשוכות מחשבון חברת קינג דיוויד תעשיות כנגד חשבוניות המס הכוזבות אולם לא העביר את התמורה לידי חברת קשרץ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פָרט את ההמחאות בחברות למתן שירותי מטבע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בתקופה שבין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הוציא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חשבוניות מס כוזבות ללקוחות שונים באמצעות מי מהנאשמים מבלי שנעשתה כל עסקה או סופק כל שירות כנגד החשבוניות וזאת בתמורה לעמלה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חברת הכיסוי קשרץ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נמנתה על מערך חברות הכסות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התווה את פעילותה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ומי מהנאשמים האחרים הוציאו באמצעות הנאשם וחברת קשרץ חשבוניות מס כוזבות שאותן כללו בספרי הנהלת החשבונות של חברת אופיר התזה הרשומה על שם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בדרך זו כללו חשבוניות מס כוזבות בספרי חב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אופיר התזה סכום שאינו פוחת מסך של </w:t>
      </w:r>
      <w:r>
        <w:rPr>
          <w:rFonts w:cs="David" w:ascii="David" w:hAnsi="David"/>
          <w:b/>
          <w:bCs/>
          <w:sz w:val="24"/>
          <w:szCs w:val="24"/>
        </w:rPr>
        <w:t>100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מיליון ₪ שהמס הגלום מגיע לכדי </w:t>
      </w:r>
      <w:r>
        <w:rPr>
          <w:rFonts w:cs="David" w:ascii="David" w:hAnsi="David"/>
          <w:b/>
          <w:bCs/>
          <w:sz w:val="24"/>
          <w:szCs w:val="24"/>
        </w:rPr>
        <w:t>14.5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מיליון 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בתמורה לחשבוניות המס הכוזבות שהוצאו באמצעות הנאשם ביחד עם מי מהנאשמים הנפיק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המחאות המשוכות מחשבון 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אופיר התזה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לא העביר תמורה לידי חברת קשרץ אלא פָרט את ההמחאות בחברות למתן שירותי מטבע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האישום הרביעי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בתקופה שבין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הוציא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קינג דיוויד ניהול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חשבוניות מס כוזבות ללקוחות שונים מבלי שנעשתה עסקה או סופק שירות כנגד החשבוניות בתמורה לעמלה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אשר היה הבעלים הרשום בחב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קשרץ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נמנתה על מערך חברות הכסות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כשבפועל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שהתווה את פעילות החברה בדרך של הוצאת חשבוניות מס כוזבות עבור חברות ההפצה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ומי מהנאשמים אחרים הוציאו באמצעות הנאשם וחברת קשרץ חשבוניות מס כוזבות וכללו אותן בספרי החשבונות של חברת קינג דיוויד ניהול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בסך שאינו פוחת מ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1.7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מיליון ₪ שהמס הגלום בהן מגיע לכדי </w:t>
      </w:r>
      <w:r>
        <w:rPr>
          <w:rFonts w:cs="David" w:ascii="David" w:hAnsi="David"/>
          <w:b/>
          <w:bCs/>
          <w:sz w:val="24"/>
          <w:szCs w:val="24"/>
        </w:rPr>
        <w:t>256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אלף 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בתמורה לחשבוניות הכוזבות שהוציא הנאשם ואחרים לחב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קינג דיוויד ניהול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הוציא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המחאות משוכות מחשבון 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קינג דיוויד לחברת קשרץ אולם לא העביר את התמורה לחברת קשרץ אלא פרט את ההמחאות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הוראותיו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בחברות למתן שירותי מטבע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האישום החמישי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בהנחיית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למי מהנאשמים ועשה שימוש בחברות הכסות בכללן חברת קשרץ ובנאשם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בנאשם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ובשתי חברות הכסות שבהן היה רשום כבעלים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שהן יוציאו עבורו חשבוניות מס כוזבות בהתאם לצרכיו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כלל את חשבוניות המס הכוזבות על שם חברת קשרץ וחברה נוספת בספרי הנהלת החשבונות של חברת קינג פלדות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ואילו הנאשם והנאשם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כללו את חשבוניות המס הכוזבות בספריהן של חברות הכסות – חברת קשרץ והחברות האחרות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בדרך זו כללו הנאשמים חשבוניות מס כוזבות בספרי חברת קינג פלדות בסכום שאינו פוחת מסך של </w:t>
      </w:r>
      <w:r>
        <w:rPr>
          <w:rFonts w:cs="David" w:ascii="David" w:hAnsi="David"/>
          <w:b/>
          <w:bCs/>
          <w:sz w:val="24"/>
          <w:szCs w:val="24"/>
        </w:rPr>
        <w:t>63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מיליון ₪ שהמס הגלום בהן מגיע לכדי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מיליון 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בתמורה לחשבוניות הכוזבות הנפיק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המחאות נגד חשבוניות המס הכוזבות אולם לא העביר את התמורה לחברת קשרץ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פרט אותן בחברות למתן שירותי מטבע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האישום השישי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הוציא הנאשם בהנחיית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באמצעות חברת קשרץ חשבוניות מס כוזבות ללקוחות בסך שאינו פוחת מ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94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מיליון ₪ שהמס הגלום בהן מגיע לכדי </w:t>
      </w:r>
      <w:r>
        <w:rPr>
          <w:rFonts w:cs="David" w:ascii="David" w:hAnsi="David"/>
          <w:b/>
          <w:bCs/>
          <w:sz w:val="24"/>
          <w:szCs w:val="24"/>
        </w:rPr>
        <w:t>13.6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מיליון 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הלקוחות כללו את חשבוניות המס הכוזבות בפנקסי החשבונות שלהם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האישום השביעי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בפרק השלישי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העוסק בהלבנת הון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והנאשמים האחרים הוציאו חשבוניות מס כוזבות על שם חברות הכסות אותן ניכו חברות ההפצה ועבירות אלה הן עבירות המקור כהגדרתן 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בהוראת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והנאשמים האחרים הפקידו המחאות בחברות למתן שירותי מטבע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המירו אותן למזומן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והטמיעו אותם חזרה בפעילות הפלילית במסגרת התוכנית העבריינית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ונאשמים אחרים מסרו את ההמחאות המשוכות מחשבונה של חב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קינג דיוויד תעשיות לפריטה ובדרך זו המירו את הרכוש האסור והסתירו את בעליו האמתיים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סך היקף כלל עבירות הלבנת ההון מיוחסת לנאשם הינו </w:t>
      </w:r>
      <w:r>
        <w:rPr>
          <w:rFonts w:cs="David" w:ascii="David" w:hAnsi="David"/>
          <w:b/>
          <w:bCs/>
          <w:sz w:val="24"/>
          <w:szCs w:val="24"/>
        </w:rPr>
        <w:t>73.9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מיליון 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הצדדים הגיעו להסדר דיוני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הליך גישור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פיו הודה הנאשם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הייתה בין הצדדים הסכמה לעניין העונש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הוסכם כי על הנאשמת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חברת קשרץ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יוטל קנס סמלי בסך 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הצדדים הסכימו כי לאחר מתן גזר הדין בעניינו של הנאשם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בורוכוב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ישובו הצדדים וישוחחו לגבי האפשרות שיעתרו לעונש מוסכם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לשם השלמת התמונה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יתר הנאשמים בפרשה הורשעו כל אחד בהתאם לחלקו ונגזר דינם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ראשי הארגון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2-1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הורשעו בעבירות על 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המאבק בארגוני הפשיעה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ועל 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סיוע לארגון פשיעה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3-1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הורשעו בעבירות המס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בשל מגבלות שנקבעו בהסדרי ההסגרה שלהם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לעונש של </w:t>
      </w:r>
      <w:r>
        <w:rPr>
          <w:rFonts w:cs="David" w:ascii="David" w:hAnsi="David"/>
          <w:sz w:val="24"/>
          <w:szCs w:val="24"/>
        </w:rPr>
        <w:t>62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לעונש של </w:t>
      </w:r>
      <w:r>
        <w:rPr>
          <w:rFonts w:cs="David" w:ascii="David" w:hAnsi="David"/>
          <w:sz w:val="24"/>
          <w:szCs w:val="24"/>
        </w:rPr>
        <w:t>44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לעונש של </w:t>
      </w:r>
      <w:r>
        <w:rPr>
          <w:rFonts w:cs="David" w:ascii="David" w:hAnsi="David"/>
          <w:sz w:val="24"/>
          <w:szCs w:val="24"/>
        </w:rPr>
        <w:t>24.5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8,6,5,4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הורשעו בעבירות על </w:t>
      </w: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מע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מס הכנסה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ועל 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עונשם נקבע בהתאם לחלקם ביחסי בפרשה ונע בין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לבין </w:t>
      </w:r>
      <w:r>
        <w:rPr>
          <w:rFonts w:cs="David" w:ascii="David" w:hAnsi="David"/>
          <w:sz w:val="24"/>
          <w:szCs w:val="24"/>
        </w:rPr>
        <w:t>35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11-10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הורשעו בעבירות על 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איסור הלבנת הון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ונדונו במסגרת הסדר טיעון לעונשים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לנשיאה בעבודות שירות בהתאמה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אסופת מסמכים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ע</w:t>
      </w:r>
      <w:r>
        <w:rPr>
          <w:b/>
          <w:bCs/>
          <w:rtl w:val="true"/>
          <w:lang w:eastAsia="he-IL"/>
        </w:rPr>
        <w:t>.</w:t>
      </w:r>
      <w:r>
        <w:rPr>
          <w:b/>
          <w:b/>
          <w:bCs/>
          <w:rtl w:val="true"/>
          <w:lang w:eastAsia="he-IL"/>
        </w:rPr>
        <w:t>ק</w:t>
      </w:r>
      <w:r>
        <w:rPr>
          <w:b/>
          <w:bCs/>
          <w:rtl w:val="true"/>
          <w:lang w:eastAsia="he-IL"/>
        </w:rPr>
        <w:t>/</w:t>
      </w:r>
      <w:r>
        <w:rPr>
          <w:b/>
          <w:bCs/>
          <w:lang w:eastAsia="he-IL"/>
        </w:rPr>
        <w:t>5</w:t>
      </w:r>
      <w:r>
        <w:rPr>
          <w:b/>
          <w:bCs/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אשר מפרטת את חובותיו של 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דרישות תשלום ועיקולים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לרשות המיסים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לרשות האכיפה והגבייה ועוד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בין 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נכלל מכתב מרשות המסים מיום </w:t>
      </w:r>
      <w:r>
        <w:rPr>
          <w:lang w:eastAsia="he-IL"/>
        </w:rPr>
        <w:t>10.2.22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ובו דרישה לתשלום חובות מס הכנסה בסך של </w:t>
      </w:r>
      <w:r>
        <w:rPr>
          <w:lang w:eastAsia="he-IL"/>
        </w:rPr>
        <w:t>324,276</w:t>
      </w:r>
      <w:r>
        <w:rPr>
          <w:rtl w:val="true"/>
          <w:lang w:eastAsia="he-IL"/>
        </w:rPr>
        <w:t xml:space="preserve"> ₪.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מכתב מהמרכז לטיפול בהתמכרויות בתל אביב מיום </w:t>
      </w:r>
      <w:r>
        <w:rPr>
          <w:lang w:eastAsia="he-IL"/>
        </w:rPr>
        <w:t>24.4.22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ממנו עולה שהנאשם החל טיפול גמילה באשפוזית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מלכישוע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 xml:space="preserve">ביום </w:t>
      </w:r>
      <w:r>
        <w:rPr>
          <w:lang w:eastAsia="he-IL"/>
        </w:rPr>
        <w:t>24.2.22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ושהה במקום עד ליום </w:t>
      </w:r>
      <w:r>
        <w:rPr>
          <w:lang w:eastAsia="he-IL"/>
        </w:rPr>
        <w:t>6.3.22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פונה לבית החולים העמק בגין זיהום מחיידק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ביום </w:t>
      </w:r>
      <w:r>
        <w:rPr>
          <w:lang w:eastAsia="he-IL"/>
        </w:rPr>
        <w:t>11.3.22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 לבית החולים תל השומר בעקבות החמרה במצבו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אושפז למשך יומיים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שלושה ושוחרר לביתו לאחר שיפור במצבו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כיום נמצא בקשר אינטנסיבי עם המרכז לטיפול בהתמכרויות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מוסר בקביעות בדיקות שתן שנמצאו נקיות משרידי סם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להתרשמותם הנאשם מתמיד בהליך טיפולי ומתקדם היטב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>גב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אולגה קרבצ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יק – העידה כי היא בת זוגו של הנאשם במשך עשור ולהם בת משותפת בת שש והמשפחה מתגוררת בבית אמו של 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מצבם הכלכלי 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הנאשם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נפל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לצריכת סמים קשים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 פנתה בשמו למרכז לסיוע למכורים בתל אביב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הנאשם פנה לטיפול גמילה בקהילת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הדרך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וחזר הביתה לאחר מספר ימים ושב לצרוך 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חוששת שהוא יחזור לצרוך סמים במאסר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מקווה שימשיך את הטיפול שאותו החל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התיק הזה הרס להם את החיים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מבקשת שבית המשפט יתחשב במצבו</w:t>
      </w:r>
      <w:r>
        <w:rPr>
          <w:rtl w:val="true"/>
          <w:lang w:eastAsia="he-IL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הילה גבאי ועידו נולמן</w:t>
      </w:r>
      <w:r>
        <w:rPr>
          <w:rtl w:val="true"/>
        </w:rPr>
        <w:t xml:space="preserve">, </w:t>
      </w:r>
      <w:r>
        <w:rPr>
          <w:rtl w:val="true"/>
        </w:rPr>
        <w:t xml:space="preserve">יש לראות בכל האישומים כאירוע אחד וזאת בהתאם למבחן </w:t>
      </w:r>
      <w:r>
        <w:rPr>
          <w:rtl w:val="true"/>
        </w:rPr>
        <w:t>"</w:t>
      </w:r>
      <w:r>
        <w:rPr>
          <w:rtl w:val="true"/>
        </w:rPr>
        <w:t>הקשר ההדוק</w:t>
      </w:r>
      <w:r>
        <w:rPr>
          <w:rtl w:val="true"/>
        </w:rPr>
        <w:t xml:space="preserve">", </w:t>
      </w:r>
      <w:r>
        <w:rPr>
          <w:rtl w:val="true"/>
        </w:rPr>
        <w:t>ויש לקבוע מתחם עונש אחד לכל העבירות</w:t>
      </w:r>
      <w:r>
        <w:rPr>
          <w:rtl w:val="true"/>
        </w:rPr>
        <w:t xml:space="preserve">. </w:t>
      </w:r>
      <w:r>
        <w:rPr>
          <w:rtl w:val="true"/>
        </w:rPr>
        <w:t>הערכים המוגנים שנפגעו בעבירות המס הן שמירה על הקופה הציבורית ועל יכולתה של המדינה לספק שירותים לציבור בכללותו</w:t>
      </w:r>
      <w:r>
        <w:rPr>
          <w:rtl w:val="true"/>
        </w:rPr>
        <w:t xml:space="preserve">. </w:t>
      </w:r>
      <w:r>
        <w:rPr>
          <w:rtl w:val="true"/>
        </w:rPr>
        <w:t>עבירות המס פוגעות בערך השוויון ובחלוקת נטל שוויונית וצודקת בחברה וגורמות לפגיעה בכלכלה</w:t>
      </w:r>
      <w:r>
        <w:rPr>
          <w:rtl w:val="true"/>
        </w:rPr>
        <w:t xml:space="preserve">. </w:t>
      </w:r>
      <w:r>
        <w:rPr>
          <w:rtl w:val="true"/>
        </w:rPr>
        <w:t>בתי המשפט עמדו על חומרתה הרבה של העבריינות הכלכלית ופגיעתה במשק ובכלל הציבור</w:t>
      </w:r>
      <w:r>
        <w:rPr>
          <w:rtl w:val="true"/>
        </w:rPr>
        <w:t xml:space="preserve">. </w:t>
      </w:r>
      <w:r>
        <w:rPr>
          <w:rtl w:val="true"/>
        </w:rPr>
        <w:t>עבירות הלבנת הון פוגעות בערך החברתי של שמירה על תקינותה של המערכת הפיננסית ויש צורך ביצירת תמריץ שלילי לביצוע עבירות בעלות היבט כלכלי באמצעות נטרול הרווח שמפיקים עבריינים מפעילותם</w:t>
      </w:r>
      <w:r>
        <w:rPr>
          <w:rtl w:val="true"/>
        </w:rPr>
        <w:t xml:space="preserve">. </w:t>
      </w:r>
      <w:r>
        <w:rPr>
          <w:rtl w:val="true"/>
        </w:rPr>
        <w:t>נוכח היקף הסכומים בכל אחת מהעבירות שביצע הנאשם ביחד עם אחרים</w:t>
      </w:r>
      <w:r>
        <w:rPr>
          <w:rtl w:val="true"/>
        </w:rPr>
        <w:t xml:space="preserve">, </w:t>
      </w:r>
      <w:r>
        <w:rPr>
          <w:rtl w:val="true"/>
        </w:rPr>
        <w:t>תוך שימוש במערך חברות מתחכם</w:t>
      </w:r>
      <w:r>
        <w:rPr>
          <w:rtl w:val="true"/>
        </w:rPr>
        <w:t xml:space="preserve">, </w:t>
      </w:r>
      <w:r>
        <w:rPr>
          <w:rtl w:val="true"/>
        </w:rPr>
        <w:t>באופן תדיר ולאורך זמן</w:t>
      </w:r>
      <w:r>
        <w:rPr>
          <w:rtl w:val="true"/>
        </w:rPr>
        <w:t xml:space="preserve">, </w:t>
      </w:r>
      <w:r>
        <w:rPr>
          <w:rtl w:val="true"/>
        </w:rPr>
        <w:t>הרי שמידת הפגיעה בערכים המוגנים היא רבה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 הפיץ חשבוניות מס כוזבות בהיקף עצום של כ</w:t>
      </w:r>
      <w:r>
        <w:rPr>
          <w:b/>
          <w:bCs/>
          <w:rtl w:val="true"/>
        </w:rPr>
        <w:t>-</w:t>
      </w:r>
      <w:r>
        <w:rPr>
          <w:b/>
          <w:bCs/>
        </w:rPr>
        <w:t>311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מחברת קשרץ לחברות ההפצה שהמס הגלום בהן מסתכם בסך של כ</w:t>
      </w:r>
      <w:r>
        <w:rPr>
          <w:b/>
          <w:bCs/>
          <w:rtl w:val="true"/>
        </w:rPr>
        <w:t>-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ובנוסף הפיץ חשבוניות מס כוזבות ללקוחות הארגון באמצעות חברת קשרץ בסך כולל של כ</w:t>
      </w:r>
      <w:r>
        <w:rPr>
          <w:b/>
          <w:bCs/>
          <w:rtl w:val="true"/>
        </w:rPr>
        <w:t>-</w:t>
      </w:r>
      <w:r>
        <w:rPr>
          <w:b/>
          <w:bCs/>
        </w:rPr>
        <w:t>94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שהמס הגלום מסתכם בסך של כ</w:t>
      </w:r>
      <w:r>
        <w:rPr>
          <w:b/>
          <w:bCs/>
          <w:rtl w:val="true"/>
        </w:rPr>
        <w:t>-</w:t>
      </w:r>
      <w:r>
        <w:rPr>
          <w:b/>
          <w:bCs/>
        </w:rPr>
        <w:t>13.6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 הלבין הנאשם כספים באופן שיטתי בסך של כ</w:t>
      </w:r>
      <w:r>
        <w:rPr>
          <w:b/>
          <w:bCs/>
          <w:rtl w:val="true"/>
        </w:rPr>
        <w:t>-</w:t>
      </w:r>
      <w:r>
        <w:rPr>
          <w:b/>
          <w:bCs/>
        </w:rPr>
        <w:t>73.9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במסגרת הנסיבות הקשורות בביצוע העבירה – הנאשם פעל במשך שלוש שנים במסגרת תוכנית עבריינית רחבת היקף</w:t>
      </w:r>
      <w:r>
        <w:rPr>
          <w:rtl w:val="true"/>
        </w:rPr>
        <w:t xml:space="preserve">, </w:t>
      </w:r>
      <w:r>
        <w:rPr>
          <w:rtl w:val="true"/>
        </w:rPr>
        <w:t>שיטתית ומתוחכמת הכוללת מערכת של חברות הפצה וחברות כסות לביצוע עבירות מס והלבנת הון בהיקף של מאות מיליוני ₪</w:t>
      </w:r>
      <w:r>
        <w:rPr>
          <w:rtl w:val="true"/>
        </w:rPr>
        <w:t xml:space="preserve">. </w:t>
      </w:r>
      <w:r>
        <w:rPr>
          <w:rtl w:val="true"/>
        </w:rPr>
        <w:t>הנאשם נטל חלק משמעותי בתוכנית העבריינית</w:t>
      </w:r>
      <w:r>
        <w:rPr>
          <w:rtl w:val="true"/>
        </w:rPr>
        <w:t xml:space="preserve">, </w:t>
      </w:r>
      <w:r>
        <w:rPr>
          <w:rtl w:val="true"/>
        </w:rPr>
        <w:t>כאשר כלל מרכיבי התוכנית הם פרי של תכנון מוקפד וממושך</w:t>
      </w:r>
      <w:r>
        <w:rPr>
          <w:rtl w:val="true"/>
        </w:rPr>
        <w:t xml:space="preserve">. </w:t>
      </w:r>
      <w:r>
        <w:rPr>
          <w:rtl w:val="true"/>
        </w:rPr>
        <w:t>הנאשם ביצע עבירות מורכבות שהצריכו אותו לפעול בשיטתיות</w:t>
      </w:r>
      <w:r>
        <w:rPr>
          <w:rtl w:val="true"/>
        </w:rPr>
        <w:t xml:space="preserve">, </w:t>
      </w:r>
      <w:r>
        <w:rPr>
          <w:rtl w:val="true"/>
        </w:rPr>
        <w:t>תוך תכנון מוקדם</w:t>
      </w:r>
      <w:r>
        <w:rPr>
          <w:rtl w:val="true"/>
        </w:rPr>
        <w:t xml:space="preserve">, </w:t>
      </w:r>
      <w:r>
        <w:rPr>
          <w:rtl w:val="true"/>
        </w:rPr>
        <w:t>והוא פעל בצורה מתוחכמת המקשה על גילוי העבירות</w:t>
      </w:r>
      <w:r>
        <w:rPr>
          <w:rtl w:val="true"/>
        </w:rPr>
        <w:t xml:space="preserve">. </w:t>
      </w:r>
      <w:r>
        <w:rPr>
          <w:rtl w:val="true"/>
        </w:rPr>
        <w:t>במסגרת התוכנית העבריינית בוצעו עבירות מס והלבנת הון בהיקף עצום של קרוב למיליארד ₪</w:t>
      </w:r>
      <w:r>
        <w:rPr>
          <w:rtl w:val="true"/>
        </w:rPr>
        <w:t xml:space="preserve">, </w:t>
      </w:r>
      <w:r>
        <w:rPr>
          <w:rtl w:val="true"/>
        </w:rPr>
        <w:t>חלקו בעבירות הוא גדול מאוד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ובמסגרת חלקו הפיץ וקיזז חשבוניות בסכום של </w:t>
      </w:r>
      <w:r>
        <w:rPr>
          <w:b/>
          <w:bCs/>
        </w:rPr>
        <w:t>405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הסיבות שהביאו אותו לביצוע העבירות הן בצע כסף ורצון להתעשר בזמן קצר</w:t>
      </w:r>
      <w:r>
        <w:rPr>
          <w:rtl w:val="true"/>
        </w:rPr>
        <w:t xml:space="preserve">. </w:t>
      </w:r>
      <w:r>
        <w:rPr>
          <w:rtl w:val="true"/>
        </w:rPr>
        <w:t>הנזק שנגרם לקופת המדינה הוא עצום ועומד על מאות מיליוני ₪</w:t>
      </w:r>
      <w:r>
        <w:rPr>
          <w:rtl w:val="true"/>
        </w:rPr>
        <w:t xml:space="preserve">. </w:t>
      </w:r>
      <w:r>
        <w:rPr>
          <w:rtl w:val="true"/>
        </w:rPr>
        <w:t>בנוסף לנזק הישיר לקופה הציבורית ישנה פגיעה ממשית במנגנוני הדיווח כתוצאה משיבוש מערך הדיווח התקין לרשויות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במסגרת סוגיית האחידות בענישה התייחסה המאשימה לגזרי הדין שניתנו בעניינם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נאשמים אלה לא הועמדו לדין בעבירות מס בשל תנאי הסגרתם</w:t>
      </w:r>
      <w:r>
        <w:rPr>
          <w:rtl w:val="true"/>
        </w:rPr>
        <w:t xml:space="preserve">, </w:t>
      </w:r>
      <w:r>
        <w:rPr>
          <w:rtl w:val="true"/>
        </w:rPr>
        <w:t>חרף העובדה שהם הנחו את יתר הנאשמים</w:t>
      </w:r>
      <w:r>
        <w:rPr>
          <w:rtl w:val="true"/>
        </w:rPr>
        <w:t xml:space="preserve">, </w:t>
      </w:r>
      <w:r>
        <w:rPr>
          <w:rtl w:val="true"/>
        </w:rPr>
        <w:t>ולפיכך אין להחיל שיקולי ענישה דומים שכן העבירות אינן דומות במהותן</w:t>
      </w:r>
      <w:r>
        <w:rPr>
          <w:rtl w:val="true"/>
        </w:rPr>
        <w:t xml:space="preserve">. </w:t>
      </w:r>
      <w:r>
        <w:rPr>
          <w:rtl w:val="true"/>
        </w:rPr>
        <w:t>כמו כן ענישתם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שיקפה את הפגיעה בערכים המוגנים בעבירות בהן הורשעו וענישתו של הנאשם צריכה לשקף את פגיעתו בערכים המוגנים הרלוונטיים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בכל הנוגע לסוגיית האחידות בענישה אל מול הנאשם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אשר הורשע על פי הודאתו בעבירות דומות</w:t>
      </w:r>
      <w:r>
        <w:rPr>
          <w:rtl w:val="true"/>
        </w:rPr>
        <w:t xml:space="preserve">, </w:t>
      </w:r>
      <w:r>
        <w:rPr>
          <w:rtl w:val="true"/>
        </w:rPr>
        <w:t>ונדון על</w:t>
      </w:r>
      <w:r>
        <w:rPr>
          <w:rtl w:val="true"/>
        </w:rPr>
        <w:t>-</w:t>
      </w:r>
      <w:r>
        <w:rPr>
          <w:rtl w:val="true"/>
        </w:rPr>
        <w:t>ידי כב</w:t>
      </w:r>
      <w:r>
        <w:rPr>
          <w:rtl w:val="true"/>
        </w:rPr>
        <w:t xml:space="preserve">' </w:t>
      </w:r>
      <w:r>
        <w:rPr>
          <w:rtl w:val="true"/>
        </w:rPr>
        <w:t xml:space="preserve">סגן הנשיא בני שגיא לעונש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הבהירה המאשימה כי ניתן לאבחן ביניהם בעיקר בסכום החשבוניות שהפיץ הנאשם שהוא גבוה ב</w:t>
      </w:r>
      <w:r>
        <w:rPr>
          <w:b/>
          <w:bCs/>
          <w:rtl w:val="true"/>
        </w:rPr>
        <w:t>-</w:t>
      </w:r>
      <w:r>
        <w:rPr>
          <w:b/>
          <w:bCs/>
        </w:rPr>
        <w:t>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rtl w:val="true"/>
        </w:rPr>
        <w:t xml:space="preserve"> מזה שהפיץ הנאשם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עוד טענה המאשימה כי החליטה שלא להגיש ערעור על קולת עונשו של הנאשם </w:t>
      </w:r>
      <w:r>
        <w:rPr/>
        <w:t>8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המאשימה עתרה לקבוע מתחם עונש בעניינו של הנאשם הנע החל מ</w:t>
      </w:r>
      <w:r>
        <w:rPr>
          <w:b/>
          <w:bCs/>
          <w:rtl w:val="true"/>
        </w:rPr>
        <w:t>-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ומתחם קנס הולם החל מ</w:t>
      </w:r>
      <w:r>
        <w:rPr>
          <w:b/>
          <w:bCs/>
          <w:rtl w:val="true"/>
        </w:rPr>
        <w:t>-</w:t>
      </w:r>
      <w:r>
        <w:rPr>
          <w:b/>
          <w:bCs/>
        </w:rPr>
        <w:t>200,000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700,000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בנוגע לנסיבות שאינן קשורות בביצוע העבירה – הנאשם נטל אחריות והודה בביצוע העבירות ובכך חסך זמן שיפוטי</w:t>
      </w:r>
      <w:r>
        <w:rPr>
          <w:rtl w:val="true"/>
        </w:rPr>
        <w:t xml:space="preserve">. </w:t>
      </w:r>
      <w:r>
        <w:rPr>
          <w:rtl w:val="true"/>
        </w:rPr>
        <w:t>הנאשם לא שיתף פעולה עם רשויות החקירה</w:t>
      </w:r>
      <w:r>
        <w:rPr>
          <w:rtl w:val="true"/>
        </w:rPr>
        <w:t xml:space="preserve">, </w:t>
      </w:r>
      <w:r>
        <w:rPr>
          <w:rtl w:val="true"/>
        </w:rPr>
        <w:t>והוא פעל בהתאם לדרך הפעולה שנקבעה לחברי ההתארגנות תוך שהוא שמר על זכות השתיקה ונמנע משיתוף פעולה</w:t>
      </w:r>
      <w:r>
        <w:rPr>
          <w:rtl w:val="true"/>
        </w:rPr>
        <w:t xml:space="preserve">. </w:t>
      </w:r>
      <w:r>
        <w:rPr>
          <w:rtl w:val="true"/>
        </w:rPr>
        <w:t>עד למועד זה הנאשם לא הסיר את המחדל כלפי רשויות המס ונראה כי אין בכוונתו להסירו</w:t>
      </w:r>
      <w:r>
        <w:rPr>
          <w:rtl w:val="true"/>
        </w:rPr>
        <w:t xml:space="preserve">. </w:t>
      </w:r>
      <w:r>
        <w:rPr>
          <w:rtl w:val="true"/>
        </w:rPr>
        <w:t>לנאשם עבר פלילי</w:t>
      </w:r>
      <w:r>
        <w:rPr>
          <w:rtl w:val="true"/>
        </w:rPr>
        <w:t xml:space="preserve">. </w:t>
      </w:r>
      <w:r>
        <w:rPr>
          <w:rtl w:val="true"/>
        </w:rPr>
        <w:t>על אף שהנאשם אינו נמנה על הוגי התוכנית העבריינית</w:t>
      </w:r>
      <w:r>
        <w:rPr>
          <w:rtl w:val="true"/>
        </w:rPr>
        <w:t xml:space="preserve">, </w:t>
      </w:r>
      <w:r>
        <w:rPr>
          <w:rtl w:val="true"/>
        </w:rPr>
        <w:t>הוא שימש כבורג מרכזי ותפקידו לא הסתכם ברישומו כבעליה של חברת קשרץ</w:t>
      </w:r>
      <w:r>
        <w:rPr>
          <w:rtl w:val="true"/>
        </w:rPr>
        <w:t xml:space="preserve">. </w:t>
      </w:r>
      <w:r>
        <w:rPr>
          <w:rtl w:val="true"/>
        </w:rPr>
        <w:t>אין חולק כי הנאשם לא היה מהמרווחים העיקריים מהתוכנית</w:t>
      </w:r>
      <w:r>
        <w:rPr>
          <w:rtl w:val="true"/>
        </w:rPr>
        <w:t xml:space="preserve">. </w:t>
      </w:r>
      <w:r>
        <w:rPr>
          <w:rtl w:val="true"/>
        </w:rPr>
        <w:t>ההלכה קובעת כי בעבירות מס הנסיבות האישיות ושיקולי השיקום נדחים מפני שיקולי ההרתעה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משה שמיר</w:t>
      </w:r>
      <w:r>
        <w:rPr>
          <w:rtl w:val="true"/>
        </w:rPr>
        <w:t xml:space="preserve">, </w:t>
      </w:r>
      <w:r>
        <w:rPr>
          <w:rtl w:val="true"/>
        </w:rPr>
        <w:t xml:space="preserve">בין הצדדים הוסכם כי לאחר מתן גזר הדין בעניינו של הנאשם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הם יבואו בדברים בנוגע לענישה מוסכמת</w:t>
      </w:r>
      <w:r>
        <w:rPr>
          <w:rtl w:val="true"/>
        </w:rPr>
        <w:t xml:space="preserve">. </w:t>
      </w:r>
      <w:r>
        <w:rPr>
          <w:rtl w:val="true"/>
        </w:rPr>
        <w:t xml:space="preserve">הדיונים בעניינו של הנאשם נדחו פעם אחר פעם לשם המתנה למתן גזר הדין בעניינו של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בבית המשפט המחוזי בתל אביב</w:t>
      </w:r>
      <w:r>
        <w:rPr>
          <w:rtl w:val="true"/>
        </w:rPr>
        <w:t xml:space="preserve">, </w:t>
      </w:r>
      <w:r>
        <w:rPr>
          <w:rtl w:val="true"/>
        </w:rPr>
        <w:t>ואולם לאחר שניתן גזר הדין</w:t>
      </w:r>
      <w:r>
        <w:rPr>
          <w:rtl w:val="true"/>
        </w:rPr>
        <w:t xml:space="preserve">, </w:t>
      </w:r>
      <w:r>
        <w:rPr>
          <w:rtl w:val="true"/>
        </w:rPr>
        <w:t>המאשימה החליטה שלא להגיע להסכמה לעונש עם הנאשם</w:t>
      </w:r>
      <w:r>
        <w:rPr>
          <w:rtl w:val="true"/>
        </w:rPr>
        <w:t xml:space="preserve">, </w:t>
      </w:r>
      <w:r>
        <w:rPr>
          <w:rtl w:val="true"/>
        </w:rPr>
        <w:t xml:space="preserve">מכיוון שהעונש שהוטל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לא תאם את ציפיותיה לעונש</w:t>
      </w:r>
      <w:r>
        <w:rPr>
          <w:rtl w:val="true"/>
        </w:rPr>
        <w:t xml:space="preserve">, </w:t>
      </w:r>
      <w:r>
        <w:rPr>
          <w:rtl w:val="true"/>
        </w:rPr>
        <w:t>על אף שלא הגישה ערעור על קולת עונשו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בתי המשפט ברגיל מחמירים בעבירות המס ומטילים עונשי מאסר בפועל</w:t>
      </w:r>
      <w:r>
        <w:rPr>
          <w:rtl w:val="true"/>
        </w:rPr>
        <w:t xml:space="preserve">. </w:t>
      </w:r>
      <w:r>
        <w:rPr>
          <w:rtl w:val="true"/>
        </w:rPr>
        <w:t>עם זאת בנסיבות מיוחדות גובר הצורך בענישה אינדיבידואלית על פני שיקולי הענישה האחרים</w:t>
      </w:r>
      <w:r>
        <w:rPr>
          <w:rtl w:val="true"/>
        </w:rPr>
        <w:t xml:space="preserve">. </w:t>
      </w:r>
      <w:r>
        <w:rPr>
          <w:rtl w:val="true"/>
        </w:rPr>
        <w:t xml:space="preserve">העבירות בוצעו בין השנים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הנאשם היה בדרג הרביעי בתוך ההתארגנות</w:t>
      </w:r>
      <w:r>
        <w:rPr>
          <w:rtl w:val="true"/>
        </w:rPr>
        <w:t xml:space="preserve">. </w:t>
      </w:r>
      <w:r>
        <w:rPr>
          <w:rtl w:val="true"/>
        </w:rPr>
        <w:t>במסגרת תפקידו ביצע שליחויות עבור ההתארגנות</w:t>
      </w:r>
      <w:r>
        <w:rPr>
          <w:rtl w:val="true"/>
        </w:rPr>
        <w:t xml:space="preserve">, </w:t>
      </w:r>
      <w:r>
        <w:rPr>
          <w:rtl w:val="true"/>
        </w:rPr>
        <w:t>נרשם כבעלי חברת קשרץ שהיא חברת כיסוי בארגון והנפיק חשבוניות לחברות ההפצה בהתאם להוראות שקיבל מהדרג הניהולי בארגון</w:t>
      </w:r>
      <w:r>
        <w:rPr>
          <w:rtl w:val="true"/>
        </w:rPr>
        <w:t xml:space="preserve">. </w:t>
      </w:r>
      <w:r>
        <w:rPr>
          <w:rtl w:val="true"/>
        </w:rPr>
        <w:t>הנאשם שימש כאיש קש בחברת קשרץ</w:t>
      </w:r>
      <w:r>
        <w:rPr>
          <w:rtl w:val="true"/>
        </w:rPr>
        <w:t xml:space="preserve">. </w:t>
      </w:r>
      <w:r>
        <w:rPr>
          <w:rtl w:val="true"/>
        </w:rPr>
        <w:t>הנאשם לא נהנה מרווחיה של הפעילות העבריינית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אלא הוא פעל בעבור משכורת חודשית בסך של </w:t>
      </w:r>
      <w:r>
        <w:rPr/>
        <w:t>10,000</w:t>
      </w:r>
      <w:r>
        <w:rPr>
          <w:rtl w:val="true"/>
        </w:rPr>
        <w:t xml:space="preserve"> ₪ – </w:t>
      </w:r>
      <w:r>
        <w:rPr>
          <w:rtl w:val="true"/>
        </w:rPr>
        <w:t>סכום שולי ביחס לסכומים שהארגון הפיק בדרך של גזל הקופה הציבורית</w:t>
      </w:r>
      <w:r>
        <w:rPr>
          <w:rtl w:val="true"/>
        </w:rPr>
        <w:t xml:space="preserve">. </w:t>
      </w:r>
      <w:r>
        <w:rPr>
          <w:rtl w:val="true"/>
        </w:rPr>
        <w:t>מדובר בנאשם שנוצל מתוך מצוקה אישית וכלכלית</w:t>
      </w:r>
      <w:r>
        <w:rPr>
          <w:rtl w:val="true"/>
        </w:rPr>
        <w:t xml:space="preserve">, </w:t>
      </w:r>
      <w:r>
        <w:rPr>
          <w:rtl w:val="true"/>
        </w:rPr>
        <w:t>היה בן פחות 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באותן השנים</w:t>
      </w:r>
      <w:r>
        <w:rPr>
          <w:rtl w:val="true"/>
        </w:rPr>
        <w:t xml:space="preserve">, </w:t>
      </w:r>
      <w:r>
        <w:rPr>
          <w:rtl w:val="true"/>
        </w:rPr>
        <w:t>לקח על עצמו תפקידים שלא תאמו את יכולותיו ובין היתר אפשר לאחרים לרשום את החברה על שמו</w:t>
      </w:r>
      <w:r>
        <w:rPr>
          <w:rtl w:val="true"/>
        </w:rPr>
        <w:t xml:space="preserve">. </w:t>
      </w:r>
      <w:r>
        <w:rPr>
          <w:rtl w:val="true"/>
        </w:rPr>
        <w:t>הוא לא הבין את המשמעויות המלאות של מעשיו</w:t>
      </w:r>
      <w:r>
        <w:rPr>
          <w:rtl w:val="true"/>
        </w:rPr>
        <w:t xml:space="preserve">. </w:t>
      </w:r>
      <w:r>
        <w:rPr>
          <w:rtl w:val="true"/>
        </w:rPr>
        <w:t>הנאשם נותר עם חובות עצומים לרשויות המס</w:t>
      </w:r>
      <w:r>
        <w:rPr>
          <w:rtl w:val="true"/>
        </w:rPr>
        <w:t xml:space="preserve">, </w:t>
      </w:r>
      <w:r>
        <w:rPr>
          <w:rtl w:val="true"/>
        </w:rPr>
        <w:t>חובות שלעולם לא יוכל לשלם</w:t>
      </w:r>
      <w:r>
        <w:rPr>
          <w:rtl w:val="true"/>
        </w:rPr>
        <w:t xml:space="preserve">. </w:t>
      </w:r>
      <w:r>
        <w:rPr>
          <w:rtl w:val="true"/>
        </w:rPr>
        <w:t>לאחר שירצה את עונשו הוא ייכנס להליך של פשיטת רגל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בהתייחס למדרג – מי שהיה ראש ההתארגנות שהוא בעל עבר פלילי מכביד בעבירות דומות שהוסגר לישראל לאחר שנמלט</w:t>
      </w:r>
      <w:r>
        <w:rPr>
          <w:rtl w:val="true"/>
        </w:rPr>
        <w:t xml:space="preserve">. </w:t>
      </w:r>
      <w:r>
        <w:rPr>
          <w:rtl w:val="true"/>
        </w:rPr>
        <w:t xml:space="preserve">בסופו של יום נדון בהסכמת המאשימה לעונש מוסכם של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אחיו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והאח השלישי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24.5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מובן שלנאשמים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מיוחסים סכומים גבוהים באופן משמעותי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לאחרונה ניתן גזר דין בבית המשפט המחוזי בתל אביב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כב</w:t>
      </w:r>
      <w:r>
        <w:rPr>
          <w:rtl w:val="true"/>
        </w:rPr>
        <w:t xml:space="preserve">' </w:t>
      </w:r>
      <w:r>
        <w:rPr>
          <w:rtl w:val="true"/>
        </w:rPr>
        <w:t>סגן הנשיא בני שגיא</w:t>
      </w:r>
      <w:r>
        <w:rPr>
          <w:rtl w:val="true"/>
        </w:rPr>
        <w:t xml:space="preserve">, </w:t>
      </w:r>
      <w:r>
        <w:rPr>
          <w:rtl w:val="true"/>
        </w:rPr>
        <w:t>בעניינם של מספר נאשמים</w:t>
      </w:r>
      <w:r>
        <w:rPr>
          <w:rtl w:val="true"/>
        </w:rPr>
        <w:t xml:space="preserve">, </w:t>
      </w:r>
      <w:r>
        <w:rPr>
          <w:rtl w:val="true"/>
        </w:rPr>
        <w:t xml:space="preserve">כאשר נקודת ההשוואה הרלוונטית היא לגזר הדין של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שמצוי באותו מדרג עם הנאשם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וקנס בסך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 xml:space="preserve">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היה רשום כבעלים של שתי חברות ולכן יוחסו לו אישומים רבים יותר מאשר לנאשם</w:t>
      </w:r>
      <w:r>
        <w:rPr>
          <w:rtl w:val="true"/>
        </w:rPr>
        <w:t xml:space="preserve">. </w:t>
      </w:r>
      <w:r>
        <w:rPr>
          <w:rtl w:val="true"/>
        </w:rPr>
        <w:t xml:space="preserve">אמנם סכום המס הגולמי שבו הורשע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נמוך יותר בכ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 ₪ אך בעבירות הלבנת ההון הנאשם הורשע בסכום של כ</w:t>
      </w:r>
      <w:r>
        <w:rPr>
          <w:rtl w:val="true"/>
        </w:rPr>
        <w:t>-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 xml:space="preserve">מיליון ₪ ואילו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הורשע בסכום גבוה בהרבה של </w:t>
      </w:r>
      <w:r>
        <w:rPr/>
        <w:t>182</w:t>
      </w:r>
      <w:r>
        <w:rPr>
          <w:rtl w:val="true"/>
        </w:rPr>
        <w:t xml:space="preserve"> </w:t>
      </w:r>
      <w:r>
        <w:rPr>
          <w:rtl w:val="true"/>
        </w:rPr>
        <w:t>מיליון ₪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שגיא קבע מתחם עונש הנע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בעניינו של הנאשם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מי שגייס את הנאשם והציע לו להצטרף לארגון הוא הנאשם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ההגנה עתרה לאמץ את בעניינו של הנאשם את מתחם העונש שנקבע בעניינו של הנאשם </w:t>
      </w:r>
      <w:r>
        <w:rPr/>
        <w:t>8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 xml:space="preserve">הנאשם בן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 xml:space="preserve">חי עם בת זוגו ואב לילדה בת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הוא גדל בתנאים קשים</w:t>
      </w:r>
      <w:r>
        <w:rPr>
          <w:rtl w:val="true"/>
        </w:rPr>
        <w:t xml:space="preserve">, </w:t>
      </w:r>
      <w:r>
        <w:rPr>
          <w:rtl w:val="true"/>
        </w:rPr>
        <w:t>בן למשפחה קשת יום ונאלץ בגיל צעיר לסייע בפרנסת משפחתו</w:t>
      </w:r>
      <w:r>
        <w:rPr>
          <w:rtl w:val="true"/>
        </w:rPr>
        <w:t xml:space="preserve">. </w:t>
      </w:r>
      <w:r>
        <w:rPr>
          <w:rtl w:val="true"/>
        </w:rPr>
        <w:t>אביו היה מכור לסמים ומגיל צעיר ראה אותו נכנס ויוצא מבתי כלא</w:t>
      </w:r>
      <w:r>
        <w:rPr>
          <w:rtl w:val="true"/>
        </w:rPr>
        <w:t xml:space="preserve">. </w:t>
      </w:r>
      <w:r>
        <w:rPr>
          <w:rtl w:val="true"/>
        </w:rPr>
        <w:t>אמו ניסתה לפרנס את המשפחה בדוחק</w:t>
      </w:r>
      <w:r>
        <w:rPr>
          <w:rtl w:val="true"/>
        </w:rPr>
        <w:t xml:space="preserve">. </w:t>
      </w:r>
      <w:r>
        <w:rPr>
          <w:rtl w:val="true"/>
        </w:rPr>
        <w:t xml:space="preserve">הנאשם לא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ללא תעודת בגרות</w:t>
      </w:r>
      <w:r>
        <w:rPr>
          <w:rtl w:val="true"/>
        </w:rPr>
        <w:t xml:space="preserve">, </w:t>
      </w:r>
      <w:r>
        <w:rPr>
          <w:rtl w:val="true"/>
        </w:rPr>
        <w:t>לא שרת בצבא</w:t>
      </w:r>
      <w:r>
        <w:rPr>
          <w:rtl w:val="true"/>
        </w:rPr>
        <w:t xml:space="preserve">. </w:t>
      </w:r>
      <w:r>
        <w:rPr>
          <w:rtl w:val="true"/>
        </w:rPr>
        <w:t>מכאן קל להבין כיצד הנאשם פותה להיכנס לעסק של הוצאת חשבוניות פיקטיביות</w:t>
      </w:r>
      <w:r>
        <w:rPr>
          <w:rtl w:val="true"/>
        </w:rPr>
        <w:t xml:space="preserve">, </w:t>
      </w:r>
      <w:r>
        <w:rPr>
          <w:rtl w:val="true"/>
        </w:rPr>
        <w:t>שבו לא היה שותף לרווחים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נפל לסמים בגיל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הנאשם נגמל אך שב לצרוך סמים וממש לאחרונה נקלע שוב להתמכרות קשה לסמים</w:t>
      </w:r>
      <w:r>
        <w:rPr>
          <w:rtl w:val="true"/>
        </w:rPr>
        <w:t xml:space="preserve">. </w:t>
      </w:r>
      <w:r>
        <w:rPr>
          <w:rtl w:val="true"/>
        </w:rPr>
        <w:t>הוא החל לטפל בעצמו באמצעות המרכז לטיפול בהתמכרויות</w:t>
      </w:r>
      <w:r>
        <w:rPr>
          <w:rtl w:val="true"/>
        </w:rPr>
        <w:t xml:space="preserve">. </w:t>
      </w:r>
      <w:r>
        <w:rPr>
          <w:rtl w:val="true"/>
        </w:rPr>
        <w:t>הוא מוסר בדיקות שתן נקיות מסמים וחשוב שימשיך בדרך זו</w:t>
      </w:r>
      <w:r>
        <w:rPr>
          <w:rtl w:val="true"/>
        </w:rPr>
        <w:t xml:space="preserve">. </w:t>
      </w:r>
      <w:r>
        <w:rPr>
          <w:rtl w:val="true"/>
        </w:rPr>
        <w:t>הוא עובד כיום כשליח פיצה ומשתכר 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בשל התיק הנוכחי</w:t>
      </w:r>
      <w:r>
        <w:rPr>
          <w:rtl w:val="true"/>
        </w:rPr>
        <w:t xml:space="preserve">, </w:t>
      </w:r>
      <w:r>
        <w:rPr>
          <w:rtl w:val="true"/>
        </w:rPr>
        <w:t>רשות המיסים חייבה את הנאשם באופן אישי בשומות בסך עשרות מיליוני ₪</w:t>
      </w:r>
      <w:r>
        <w:rPr>
          <w:rtl w:val="true"/>
        </w:rPr>
        <w:t xml:space="preserve">, </w:t>
      </w:r>
      <w:r>
        <w:rPr>
          <w:rtl w:val="true"/>
        </w:rPr>
        <w:t>דבר שעשוי לרדוף אותו במשך שנים</w:t>
      </w:r>
      <w:r>
        <w:rPr>
          <w:rtl w:val="true"/>
        </w:rPr>
        <w:t xml:space="preserve">. </w:t>
      </w:r>
      <w:r>
        <w:rPr>
          <w:rtl w:val="true"/>
        </w:rPr>
        <w:t>לנאשם אין רכוש או נכסים מכל סוג</w:t>
      </w:r>
      <w:r>
        <w:rPr>
          <w:rtl w:val="true"/>
        </w:rPr>
        <w:t xml:space="preserve">, </w:t>
      </w:r>
      <w:r>
        <w:rPr>
          <w:rtl w:val="true"/>
        </w:rPr>
        <w:t>יש לו חובות להוצל</w:t>
      </w:r>
      <w:r>
        <w:rPr>
          <w:rtl w:val="true"/>
        </w:rPr>
        <w:t>"</w:t>
      </w:r>
      <w:r>
        <w:rPr>
          <w:rtl w:val="true"/>
        </w:rPr>
        <w:t>פ וכן לשוק האפור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 זוגו ובתם מתגוררים בבית אמו של הנאשם והמשפחה צפויה להתפנות מהבית בקרוב</w:t>
      </w:r>
      <w:r>
        <w:rPr>
          <w:rtl w:val="true"/>
        </w:rPr>
        <w:t xml:space="preserve">. </w:t>
      </w:r>
      <w:r>
        <w:rPr>
          <w:rtl w:val="true"/>
        </w:rPr>
        <w:t>אין סיכון להישנות ביצוע העבירות וזאת מאחר שהדרג הבכיר בהתארגנות נמצא במאסר</w:t>
      </w:r>
      <w:r>
        <w:rPr>
          <w:rtl w:val="true"/>
        </w:rPr>
        <w:t xml:space="preserve">, </w:t>
      </w:r>
      <w:r>
        <w:rPr>
          <w:rtl w:val="true"/>
        </w:rPr>
        <w:t>החברות אינן פעילות והנאשם עצמו לא נמצא בקשר עם אחרים בכתב האישום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 רלוונטי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לאור הנסיבות המיוחדות של הנאשם לרבות התמכרותו לסמים ונסיבותיו המשפחתיות</w:t>
      </w:r>
      <w:r>
        <w:rPr>
          <w:rtl w:val="true"/>
        </w:rPr>
        <w:t xml:space="preserve">, </w:t>
      </w:r>
      <w:r>
        <w:rPr>
          <w:rtl w:val="true"/>
        </w:rPr>
        <w:t>יש מקום לחרוג ממתחם העונש ובפרט לאור המאמצים שערך הנאשם לפתוח דף חדש בחייו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לקבוע את עונשו לכל היותר כעונשו של הנאשם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ואף לשקול עונש נמוך מזה</w:t>
      </w:r>
      <w:r>
        <w:rPr>
          <w:rtl w:val="true"/>
        </w:rPr>
        <w:t xml:space="preserve">, </w:t>
      </w:r>
      <w:r>
        <w:rPr>
          <w:rtl w:val="true"/>
        </w:rPr>
        <w:t>וכן לכך שהקנס שיושת עליו יהיה המתאים ליכולותיו הכלכליות המוגבלות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>הנאשם טען שעבר חיים קשים מגיל צעיר</w:t>
      </w:r>
      <w:r>
        <w:rPr>
          <w:rtl w:val="true"/>
        </w:rPr>
        <w:t xml:space="preserve">, </w:t>
      </w:r>
      <w:r>
        <w:rPr>
          <w:rtl w:val="true"/>
        </w:rPr>
        <w:t>אביו צרך סמים והיכה את אמו</w:t>
      </w:r>
      <w:r>
        <w:rPr>
          <w:rtl w:val="true"/>
        </w:rPr>
        <w:t xml:space="preserve">. </w:t>
      </w:r>
      <w:r>
        <w:rPr>
          <w:rtl w:val="true"/>
        </w:rPr>
        <w:t xml:space="preserve">הוא החל לצרוך סמים ואלכוהול בגיל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גדל בשכונה קשה</w:t>
      </w:r>
      <w:r>
        <w:rPr>
          <w:rtl w:val="true"/>
        </w:rPr>
        <w:t xml:space="preserve">. </w:t>
      </w:r>
      <w:r>
        <w:rPr>
          <w:rtl w:val="true"/>
        </w:rPr>
        <w:t xml:space="preserve">כשהיה 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חברו נרצח ומת בזרועותיו</w:t>
      </w:r>
      <w:r>
        <w:rPr>
          <w:rtl w:val="true"/>
        </w:rPr>
        <w:t xml:space="preserve">, </w:t>
      </w:r>
      <w:r>
        <w:rPr>
          <w:rtl w:val="true"/>
        </w:rPr>
        <w:t>והוא נפל לסמים קשים</w:t>
      </w:r>
      <w:r>
        <w:rPr>
          <w:rtl w:val="true"/>
        </w:rPr>
        <w:t xml:space="preserve">. </w:t>
      </w:r>
      <w:r>
        <w:rPr>
          <w:rtl w:val="true"/>
        </w:rPr>
        <w:t>ניסיונותיו להיגמל לא צלחו</w:t>
      </w:r>
      <w:r>
        <w:rPr>
          <w:rtl w:val="true"/>
        </w:rPr>
        <w:t xml:space="preserve">. </w:t>
      </w:r>
      <w:r>
        <w:rPr>
          <w:rtl w:val="true"/>
        </w:rPr>
        <w:t>הכניסו אותו לתיק</w:t>
      </w:r>
      <w:r>
        <w:rPr>
          <w:rtl w:val="true"/>
        </w:rPr>
        <w:t xml:space="preserve">. </w:t>
      </w:r>
      <w:r>
        <w:rPr>
          <w:rtl w:val="true"/>
        </w:rPr>
        <w:t xml:space="preserve">הציעו לו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והוא חשב שזו מציאה</w:t>
      </w:r>
      <w:r>
        <w:rPr>
          <w:rtl w:val="true"/>
        </w:rPr>
        <w:t xml:space="preserve">. </w:t>
      </w:r>
      <w:r>
        <w:rPr>
          <w:rtl w:val="true"/>
        </w:rPr>
        <w:t>היום מבין שעשה טעות ומצטער עליה</w:t>
      </w:r>
      <w:r>
        <w:rPr>
          <w:rtl w:val="true"/>
        </w:rPr>
        <w:t xml:space="preserve">. </w:t>
      </w:r>
      <w:r>
        <w:rPr>
          <w:rtl w:val="true"/>
        </w:rPr>
        <w:t>רוצה להתחיל חיים חדשים</w:t>
      </w:r>
      <w:r>
        <w:rPr>
          <w:rtl w:val="true"/>
        </w:rPr>
        <w:t xml:space="preserve">, </w:t>
      </w:r>
      <w:r>
        <w:rPr>
          <w:rtl w:val="true"/>
        </w:rPr>
        <w:t>להיות אב טוב לבתו</w:t>
      </w:r>
      <w:r>
        <w:rPr>
          <w:rtl w:val="true"/>
        </w:rPr>
        <w:t xml:space="preserve">. </w:t>
      </w:r>
      <w:r>
        <w:rPr>
          <w:rtl w:val="true"/>
        </w:rPr>
        <w:t>מנסה להסתכל קדימה ולהישאר נקי</w:t>
      </w:r>
      <w:r>
        <w:rPr>
          <w:rtl w:val="true"/>
        </w:rPr>
        <w:t xml:space="preserve">. </w:t>
      </w:r>
      <w:r>
        <w:rPr>
          <w:rtl w:val="true"/>
        </w:rPr>
        <w:t>היה נרקומן באותו הזמן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  <w:r>
        <w:rPr>
          <w:rFonts w:cs="Times New Roman"/>
          <w:rtl w:val="true"/>
        </w:rPr>
        <w:t xml:space="preserve"> </w:t>
      </w:r>
    </w:p>
    <w:p>
      <w:pPr>
        <w:pStyle w:val="Style14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b/>
          <w:bCs/>
          <w:u w:val="single"/>
        </w:rPr>
      </w:pPr>
      <w:r>
        <w:rPr>
          <w:rtl w:val="true"/>
        </w:rPr>
        <w:t>הערכים החברתיים שנפגעו מעבירות המס הם הפגיעה בקופת המדינה ופגיעה בערך השוויון בתשלום מס</w:t>
      </w:r>
      <w:r>
        <w:rPr>
          <w:rtl w:val="true"/>
        </w:rPr>
        <w:t xml:space="preserve">. </w:t>
      </w:r>
      <w:r>
        <w:rPr>
          <w:rtl w:val="true"/>
        </w:rPr>
        <w:t>בתי המשפט חזרו והדגישו את החומרה שבה יש להתייחס לעבריינות כלכלית בכלל ולעבריינות מס בפרט</w:t>
      </w:r>
      <w:r>
        <w:rPr>
          <w:rtl w:val="true"/>
        </w:rPr>
        <w:t xml:space="preserve">. </w:t>
      </w:r>
      <w:r>
        <w:rPr>
          <w:rtl w:val="true"/>
        </w:rPr>
        <w:t>זאת נוכח התוצאות ההרסניות שלהן למשק</w:t>
      </w:r>
      <w:r>
        <w:rPr>
          <w:rtl w:val="true"/>
        </w:rPr>
        <w:t xml:space="preserve">, </w:t>
      </w:r>
      <w:r>
        <w:rPr>
          <w:rtl w:val="true"/>
        </w:rPr>
        <w:t>לכלכלה ולחברה</w:t>
      </w:r>
      <w:r>
        <w:rPr>
          <w:rtl w:val="true"/>
        </w:rPr>
        <w:t xml:space="preserve">, </w:t>
      </w:r>
      <w:r>
        <w:rPr>
          <w:rtl w:val="true"/>
        </w:rPr>
        <w:t>ונוכח הפגיעה הקשה של עבירות אלה בערך השוויון בנשיאת נטל המס שנדרש לצורך מימון צרכי החברה</w:t>
      </w:r>
      <w:r>
        <w:rPr>
          <w:rtl w:val="true"/>
        </w:rPr>
        <w:t xml:space="preserve">. </w:t>
      </w:r>
      <w:r>
        <w:rPr>
          <w:rtl w:val="true"/>
        </w:rPr>
        <w:t>המשמעות של העלמת מס על</w:t>
      </w:r>
      <w:r>
        <w:rPr>
          <w:rtl w:val="true"/>
        </w:rPr>
        <w:t>-</w:t>
      </w:r>
      <w:r>
        <w:rPr>
          <w:rtl w:val="true"/>
        </w:rPr>
        <w:t>ידי אדם אחד</w:t>
      </w:r>
      <w:r>
        <w:rPr>
          <w:rtl w:val="true"/>
        </w:rPr>
        <w:t xml:space="preserve">, </w:t>
      </w:r>
      <w:r>
        <w:rPr>
          <w:rtl w:val="true"/>
        </w:rPr>
        <w:t>היא שיתר החברים בחברה נדרשים לשלם מס נוסף</w:t>
      </w:r>
      <w:r>
        <w:rPr>
          <w:rtl w:val="true"/>
        </w:rPr>
        <w:t xml:space="preserve">, </w:t>
      </w:r>
      <w:r>
        <w:rPr>
          <w:rtl w:val="true"/>
        </w:rPr>
        <w:t>ולחילופין שכל חברי החברה יקבלו מהמדינה שירותים פחותים</w:t>
      </w:r>
      <w:r>
        <w:rPr>
          <w:rtl w:val="true"/>
        </w:rPr>
        <w:t xml:space="preserve">. </w:t>
      </w:r>
      <w:r>
        <w:rPr>
          <w:rtl w:val="true"/>
        </w:rPr>
        <w:t>מדובר בעבירות שהן קלות לביצוע וקשות לאכיפה ומשכך יש לנקוט ביד קשה כנגד עברייני המס ולהשית ענישה המבכרת את אינטרס ההלימה</w:t>
      </w:r>
      <w:r>
        <w:rPr>
          <w:rtl w:val="true"/>
        </w:rPr>
        <w:t xml:space="preserve">. </w:t>
      </w:r>
      <w:r>
        <w:rPr>
          <w:rtl w:val="true"/>
        </w:rPr>
        <w:t>עבירות המס אשר מבוצעות באמצעות חשבוניות כוזבות הן מהחמורות שבעבירות המס</w:t>
      </w:r>
      <w:r>
        <w:rPr>
          <w:rtl w:val="true"/>
        </w:rPr>
        <w:t xml:space="preserve">, </w:t>
      </w:r>
      <w:r>
        <w:rPr>
          <w:rtl w:val="true"/>
        </w:rPr>
        <w:t>ולא אחת הוגדרו בפסיקה כ</w:t>
      </w:r>
      <w:r>
        <w:rPr>
          <w:rtl w:val="true"/>
        </w:rPr>
        <w:t>"</w:t>
      </w:r>
      <w:r>
        <w:rPr>
          <w:rtl w:val="true"/>
        </w:rPr>
        <w:t>אבי אבות הטומאה</w:t>
      </w:r>
      <w:r>
        <w:rPr>
          <w:rtl w:val="true"/>
        </w:rPr>
        <w:t xml:space="preserve">". </w:t>
      </w:r>
      <w:r>
        <w:rPr>
          <w:rtl w:val="true"/>
        </w:rPr>
        <w:t>בעבירות מסוג זה יש להעניק את הבכורה לשיקול ההלימה</w:t>
      </w:r>
      <w:r>
        <w:rPr>
          <w:rtl w:val="true"/>
        </w:rPr>
        <w:t xml:space="preserve">, </w:t>
      </w:r>
      <w:r>
        <w:rPr>
          <w:rtl w:val="true"/>
        </w:rPr>
        <w:t>תוך שמירה על יחס הולם בין היקף סכום השמטת המס שביצע הנאשם</w:t>
      </w:r>
      <w:r>
        <w:rPr>
          <w:rtl w:val="true"/>
        </w:rPr>
        <w:t xml:space="preserve">, </w:t>
      </w:r>
      <w:r>
        <w:rPr>
          <w:rtl w:val="true"/>
        </w:rPr>
        <w:t>לבין העונש שיוטל עליו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בעבירות מסוג זה השיקולים האינדיבידואליים הנוגעים לנאשם נסוגים מפני השיקולים הנוגעים לאינטרס הציבורי</w:t>
      </w:r>
      <w:r>
        <w:rPr>
          <w:rtl w:val="true"/>
        </w:rPr>
        <w:t xml:space="preserve">. </w:t>
      </w:r>
      <w:r>
        <w:rPr>
          <w:rtl w:val="true"/>
        </w:rPr>
        <w:t>בעניין זה ראו ב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אודיז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20.2.13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5308/18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18.7.18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חנוכייב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2.5.16</w:t>
      </w:r>
      <w:r>
        <w:rPr>
          <w:rtl w:val="true"/>
        </w:rPr>
        <w:t xml:space="preserve">); </w:t>
      </w:r>
      <w:hyperlink r:id="rId6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2638/13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עובדיה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28.4.13</w:t>
      </w:r>
      <w:r>
        <w:rPr>
          <w:rFonts w:cs="Times New Roman" w:ascii="Times New Roman" w:hAnsi="Times New Roman"/>
          <w:rtl w:val="true"/>
        </w:rPr>
        <w:t xml:space="preserve">); </w:t>
      </w:r>
      <w:hyperlink r:id="rId6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1383/22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גאבר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8.3.22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באשר לעבירת איסור הלבנת הון</w:t>
      </w:r>
      <w:r>
        <w:rPr>
          <w:rtl w:val="true"/>
        </w:rPr>
        <w:t xml:space="preserve">, </w:t>
      </w:r>
      <w:r>
        <w:rPr>
          <w:rtl w:val="true"/>
        </w:rPr>
        <w:t>הערך המוגן שנפגע כולל גם פגיעה בתקינותה ובחוסנה של המערכת הפיננסית</w:t>
      </w:r>
      <w:r>
        <w:rPr>
          <w:rtl w:val="true"/>
        </w:rPr>
        <w:t xml:space="preserve">, </w:t>
      </w:r>
      <w:r>
        <w:rPr>
          <w:rtl w:val="true"/>
        </w:rPr>
        <w:t xml:space="preserve">נוכח הטמעת רכוש שמקורו בפעילות עבריינית לתוך המערכת הפיננסית כדי להסתיר את הכספים ולהסוות את זהות בעליהם </w:t>
      </w:r>
      <w:r>
        <w:rPr>
          <w:rtl w:val="true"/>
        </w:rPr>
        <w:t>(</w:t>
      </w:r>
      <w:r>
        <w:rPr>
          <w:rtl w:val="true"/>
        </w:rPr>
        <w:t>ראו דברי ההסבר של הצעת חוק הלבנת הון</w:t>
      </w:r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). </w:t>
      </w:r>
      <w:r>
        <w:rPr>
          <w:rtl w:val="true"/>
        </w:rPr>
        <w:t>הלבנת הון היא בעלת פוטנציאל ליצירת הרס חברתי וכלכלי</w:t>
      </w:r>
      <w:r>
        <w:rPr>
          <w:rtl w:val="true"/>
        </w:rPr>
        <w:t xml:space="preserve">, </w:t>
      </w:r>
      <w:r>
        <w:rPr>
          <w:rtl w:val="true"/>
        </w:rPr>
        <w:t>בהיותה מאפשרת לעבריינים לבצע את עבירות המקור</w:t>
      </w:r>
      <w:r>
        <w:rPr>
          <w:rtl w:val="true"/>
        </w:rPr>
        <w:t xml:space="preserve">. </w:t>
      </w:r>
      <w:r>
        <w:rPr>
          <w:rtl w:val="true"/>
        </w:rPr>
        <w:t>המאבק בעבירות של הלבנת הון היא דרך למאבק בעבריינות ובפשיעה הכלכלית</w:t>
      </w:r>
      <w:r>
        <w:rPr>
          <w:rtl w:val="true"/>
        </w:rPr>
        <w:t xml:space="preserve">. </w:t>
      </w:r>
      <w:r>
        <w:rPr>
          <w:rtl w:val="true"/>
        </w:rPr>
        <w:t>בעניין הנזק הכרוך בעבירות על איסור הלבנת הון ראו 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תענך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12.7.10</w:t>
      </w:r>
      <w:r>
        <w:rPr>
          <w:rtl w:val="true"/>
        </w:rPr>
        <w:t>).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משמעותי וזאת נוכח ריבוי המעשים וסכומי הכסף הניכרים של מאות מיליוני ₪ של החשבוניות הכוזבות שבהפצתן ובקיזוזן היה מעורב הנאשם</w:t>
      </w:r>
      <w:r>
        <w:rPr>
          <w:rtl w:val="true"/>
        </w:rPr>
        <w:t xml:space="preserve">, </w:t>
      </w:r>
      <w:r>
        <w:rPr>
          <w:rtl w:val="true"/>
        </w:rPr>
        <w:t>ולנוכח היקף הלבנת ההון</w:t>
      </w:r>
      <w:r>
        <w:rPr>
          <w:rtl w:val="true"/>
        </w:rPr>
        <w:t>.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לכך שמדובר בריבוי עבירות שבוצעו במסגרת התארגנות עבריינית רחבת היקף ומשתתפים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שמאופיינות בתחכום ותכנון משמעותיים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ההתארגנות העבריינית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שבראשה עמד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הפעילה באמצעות יתר הנאשמים בפרשה ובהם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מערך של הפצת חשבוניות מס כוזבות בעיקר באמצעות חברות הפצה ולעיתים גם באמצעות חברות הכסות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חברות ההפצה מכרו חשבוניות מס כוזבות באופן שיאפשר ללקוחותיהם להגדיל באופן פיקטיבי את הוצאותיהם לצרכי מס הכנסה ולנכות את החשבוניות הפיקטיביות בדיווחים למע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מ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כדי להפחית את חבות המס של חברות ההפצה בשל ההכנסות העצומות שהצמיחה הפצת החשבוניות הכוזבות בספרי החברות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וכדי לשוות כסות חוקית לפעילותן הפלילית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השתמשו הנאשמים </w:t>
      </w:r>
      <w:r>
        <w:rPr>
          <w:rStyle w:val="default"/>
        </w:rPr>
        <w:t>3-1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והיתר בחברות הכסות שסיפקו להן חשבוניות מס תשומות כוזבות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הנאשמים </w:t>
      </w:r>
      <w:r>
        <w:rPr>
          <w:rStyle w:val="default"/>
        </w:rPr>
        <w:t>3-1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ויתר הנאשמים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כל אחד לפי חלקו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ניכו את חשבוניות המס הכוזבות שהוצאו מחברות הכסות בספריהן של חברות ההפצה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וכך הגדילו את הוצאותיהן וניכו את חשבוניות המס הכוזבות בדיווחיהן למע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מ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הנאשם נרשם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בהנחייתו של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כבעליה של חברת הכיסוי קשרץ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בעוד שבפועל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הוא שהתווה את פעילותה בדרך של הוצאת חשבוניות מס כוזבות בין היתר עבור חברות ההפצה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חתם על מסמכי התקשרות מול לקוחות ומול חברות ההפצה והוציא חשבוניות מס כוזבות על שם חברת קשרץ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וזאת בהתאם להנחיות והוראות הנאשמים </w:t>
      </w:r>
      <w:r>
        <w:rPr>
          <w:rStyle w:val="default"/>
        </w:rPr>
        <w:t>3-1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>הנאשם הפיץ חשבוניות מס כוזבות בהיקף של כ</w:t>
      </w:r>
      <w:r>
        <w:rPr>
          <w:b/>
          <w:bCs/>
          <w:rtl w:val="true"/>
        </w:rPr>
        <w:t>-</w:t>
      </w:r>
      <w:r>
        <w:rPr>
          <w:b/>
          <w:bCs/>
        </w:rPr>
        <w:t>311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מחברת קשרץ לחברות ההפצה שהמס הגלום בהן מסתכם בסך של כ</w:t>
      </w:r>
      <w:r>
        <w:rPr>
          <w:b/>
          <w:bCs/>
          <w:rtl w:val="true"/>
        </w:rPr>
        <w:t>-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ובנוסף הפיץ חשבוניות מס כוזבות ללקוחות הארגון באמצעות חברת קשרץ בסך כולל של כ</w:t>
      </w:r>
      <w:r>
        <w:rPr>
          <w:b/>
          <w:bCs/>
          <w:rtl w:val="true"/>
        </w:rPr>
        <w:t>-</w:t>
      </w:r>
      <w:r>
        <w:rPr>
          <w:b/>
          <w:bCs/>
        </w:rPr>
        <w:t>94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 שהמס הגלום מסתכם בסך שך כ</w:t>
      </w:r>
      <w:r>
        <w:rPr>
          <w:b/>
          <w:bCs/>
          <w:rtl w:val="true"/>
        </w:rPr>
        <w:t>-</w:t>
      </w:r>
      <w:r>
        <w:rPr>
          <w:b/>
          <w:bCs/>
        </w:rPr>
        <w:t>13.6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 הלבין הנאשם כספים באופן שיטתי בסך של כ</w:t>
      </w:r>
      <w:r>
        <w:rPr>
          <w:b/>
          <w:bCs/>
          <w:rtl w:val="true"/>
        </w:rPr>
        <w:t>-</w:t>
      </w:r>
      <w:r>
        <w:rPr>
          <w:b/>
          <w:bCs/>
        </w:rPr>
        <w:t>73.9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מיליון ₪</w:t>
      </w:r>
      <w:r>
        <w:rPr>
          <w:b/>
          <w:bCs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מובן שמדובר בעבירות מורכבות ומתוחכמות שלהן קדם תכנון מדוקדק ומוקפד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ואולם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הוא שהתווה את פעילות חברת קשרץ ואת מהלכיו של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וכן הנאשם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(</w:t>
      </w:r>
      <w:r>
        <w:rPr>
          <w:rStyle w:val="default"/>
          <w:rtl w:val="true"/>
        </w:rPr>
        <w:t>אף שכתב האישום בעניינו תוקן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ומעשים אלה לא יוחסו לו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הוא זה שבפועל הלבין את ההון שמקורו בפעילות העבריינית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עצמו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נוכח מאפייניו האישיים ובכללם התמכרותו לסמים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חסר כישורים ויכולת לקחת תפקיד ממשי בתכנון העבירות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 שלא ניתן לייחס לנאשם תכנון העבירות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דומיננטיות במעשים או רווח בגינם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הנזק הישיר שנגרם מביצוע העבירות לקופת המדינה הוא עצום ועומד על מאות מיליוני 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הסיבות שהביאו את הנאשם לבצע את העבירות הן בצע כסף ורצון להשגת רווח קל ומהיר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זאת על אף שהסכומים שקיבל לידיו היו נמוכים יחסית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והוא לא נהנה מרווחי ההתארגנות והעומדים בראשה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Style w:val="default"/>
          <w:rtl w:val="true"/>
        </w:rPr>
        <w:t>בכל הנוגע ל</w:t>
      </w:r>
      <w:r>
        <w:rPr>
          <w:rStyle w:val="default"/>
          <w:b/>
          <w:b/>
          <w:bCs/>
          <w:rtl w:val="true"/>
        </w:rPr>
        <w:t>מדיניות הענישה הנוהגת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הרי שעל פי רוב בעבירות מסוג זה מדיניות הענישה מחייבת הטלת עונשי מאסר ממושכים מאוד על ראשי ההתארגנות הפלילית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ובהתאם לכך עונשי מאסר אשר נגזרים מהעונשים אשר מוטלים על ראשי ההתארגנות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איש איש על פי חלקו היחסי במעשים ובעבירות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לסקירת פסיקה במקרים דומים ראו בדברי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סגן הנשיא בני שגיא ב</w:t>
      </w:r>
      <w:hyperlink r:id="rId66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24905-02-18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בן דוד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27.3.22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פיסקה </w:t>
      </w:r>
      <w:r>
        <w:rPr>
          <w:rStyle w:val="default"/>
        </w:rPr>
        <w:t>40</w:t>
      </w:r>
      <w:r>
        <w:rPr>
          <w:rStyle w:val="default"/>
          <w:rtl w:val="true"/>
        </w:rPr>
        <w:t xml:space="preserve">).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אחידות בענישה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עקרון האחידות בענישה</w:t>
      </w:r>
      <w:r>
        <w:rPr>
          <w:rStyle w:val="default"/>
          <w:rtl w:val="true"/>
        </w:rPr>
        <w:t xml:space="preserve"> הוא עקרון יסוד במשפט הפלילי שנועד להבטיח שוויון בפני החוק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עקרון זה מחייב התחשבות בשמירה על מדרג הולם בין העונשים שמוטלים על מי שהיו מעורבים באותה פרשה פלילית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בהתאם למעמדם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לתפקידם ולחלקם היחסי של הנאשמים באותה פרשה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ראו דברי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השופטת ד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ברק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ארז ב</w:t>
      </w:r>
      <w:hyperlink r:id="rId6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3745/17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אלבז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</w:rPr>
        <w:t>10.3.19</w:t>
      </w:r>
      <w:r>
        <w:rPr>
          <w:rStyle w:val="default"/>
          <w:rtl w:val="true"/>
        </w:rPr>
        <w:t xml:space="preserve">], </w:t>
      </w:r>
      <w:r>
        <w:rPr>
          <w:rStyle w:val="default"/>
          <w:rtl w:val="true"/>
        </w:rPr>
        <w:t xml:space="preserve">פיסקה </w:t>
      </w:r>
      <w:r>
        <w:rPr>
          <w:rStyle w:val="default"/>
        </w:rPr>
        <w:t>85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ודברי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 י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דנציגר ב</w:t>
      </w:r>
      <w:hyperlink r:id="rId6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4597/13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פיצו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</w:rPr>
        <w:t>22.9.14</w:t>
      </w:r>
      <w:r>
        <w:rPr>
          <w:rStyle w:val="default"/>
          <w:rtl w:val="true"/>
        </w:rPr>
        <w:t xml:space="preserve">], </w:t>
      </w:r>
      <w:r>
        <w:rPr>
          <w:rStyle w:val="default"/>
          <w:rtl w:val="true"/>
        </w:rPr>
        <w:t xml:space="preserve">פיסקה </w:t>
      </w:r>
      <w:r>
        <w:rPr>
          <w:rStyle w:val="default"/>
        </w:rPr>
        <w:t>22</w:t>
      </w:r>
      <w:r>
        <w:rPr>
          <w:rStyle w:val="default"/>
          <w:rtl w:val="true"/>
        </w:rPr>
        <w:t xml:space="preserve">). 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Style w:val="default"/>
          <w:rtl w:val="true"/>
        </w:rPr>
        <w:t xml:space="preserve">במקרה </w:t>
      </w:r>
      <w:r>
        <w:rPr>
          <w:rStyle w:val="default"/>
          <w:rtl w:val="true"/>
        </w:rPr>
        <w:t>ה</w:t>
      </w:r>
      <w:r>
        <w:rPr>
          <w:rStyle w:val="default"/>
          <w:rtl w:val="true"/>
        </w:rPr>
        <w:t>נוכחי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מבחינה כרונולוגית תחילה הורשעו ונגזר דינם של הנאשמים </w:t>
      </w:r>
      <w:r>
        <w:rPr>
          <w:rStyle w:val="default"/>
        </w:rPr>
        <w:t>2-1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ראשי ההתארגנות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בשל סיבות הנוגעות להליך הסגרתם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 הורשעו בעבירות המס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אך הורשעו בעבירות לפי </w:t>
      </w:r>
      <w:hyperlink r:id="rId6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חוק מאבק בארגוני פשיעה</w:t>
        </w:r>
      </w:hyperlink>
      <w:r>
        <w:rPr>
          <w:rStyle w:val="default"/>
          <w:rtl w:val="true"/>
        </w:rPr>
        <w:t xml:space="preserve"> והלבנת הון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במסגרת הסדר טיעון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סגור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 xml:space="preserve">הוטל על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עונש של </w:t>
      </w:r>
      <w:r>
        <w:rPr>
          <w:rStyle w:val="default"/>
        </w:rPr>
        <w:t>62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חודשי מאסר בפועל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 xml:space="preserve">לרבות הפעלת מאסר על תנאי בן </w:t>
      </w:r>
      <w:r>
        <w:rPr>
          <w:rStyle w:val="default"/>
        </w:rPr>
        <w:t>18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 בחופף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ועל הנאשם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נגזרו </w:t>
      </w:r>
      <w:r>
        <w:rPr>
          <w:rStyle w:val="default"/>
        </w:rPr>
        <w:t>44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בהמשך לכך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נגזר דינו של הנאשם 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לעונש של </w:t>
      </w:r>
      <w:r>
        <w:rPr>
          <w:rStyle w:val="default"/>
        </w:rPr>
        <w:t>24.5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לאחר מכן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נגזר עונשם של מעורבים אחרים בפרשה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וביניהם 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עניינו דומה עד מאוד לעניינו של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עונשם של האחרים נגזר במידה רבה בהתייחס לנאשמים </w:t>
      </w:r>
      <w:r>
        <w:rPr>
          <w:rStyle w:val="default"/>
        </w:rPr>
        <w:t>2-1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היו ראשי התארגנות העבריינית והרוח החיה בה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בשל הענישה המקלה באופן יחסי שנגזרה על הנאשמים </w:t>
      </w:r>
      <w:r>
        <w:rPr>
          <w:rStyle w:val="default"/>
        </w:rPr>
        <w:t>2-1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בעקבות הסכם ההסגרה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נגזרו עונשים מקלים גם על מעורבים אחרים בפרשה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וזאת כך שיישמר יחס ענישה הולם בין הנאשמים השונים – איש איש על פי חלקו היחסי במעשים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בהקשר זה יובהר כי העונש שהוטל על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הפך לחלוט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הואיל ולא הוגש ערעור על גזר הדין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והמאשימה השלימה עם גזר הדין בעניינו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הגם שסברה שהוטל עליו עונש מקל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לפיכך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יש לבחון בפרט את היחס הראוי בין מתחם העונש שנקבע בעניינו של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לבין הנאשם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b/>
          <w:bCs/>
        </w:rPr>
      </w:pPr>
      <w:r>
        <w:rPr>
          <w:rStyle w:val="default"/>
          <w:rtl w:val="true"/>
        </w:rPr>
        <w:t xml:space="preserve">אף הצדדים ראו את הדמיון הרב שבין חלקם היחסי של הנאשם והנאשם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 בעת הצגת ההסדר הדיוני בין הצדדים בעניינו של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עתרו להמתין עד לאחר מתן גזר הדין בעניינו של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ידי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 שגיא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בטרם יטענו לעונש בעניינו של הנאשם והוסכם ביניהם כי לאחר גזר הדין בעניינו של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ישובו הצדדים וידברו לגבי האפשרות לעתור לעונש מוסכם</w:t>
      </w:r>
      <w:r>
        <w:rPr>
          <w:rStyle w:val="default"/>
          <w:rtl w:val="true"/>
        </w:rPr>
        <w:t>.</w:t>
      </w:r>
      <w:r>
        <w:rPr>
          <w:rStyle w:val="default"/>
          <w:b/>
          <w:bCs/>
          <w:rtl w:val="true"/>
        </w:rPr>
        <w:t xml:space="preserve">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 xml:space="preserve">על פי כתב האישום חלקם של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ושל הנאשם בפרשה דומה מאוד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פרט לכך שהנאשם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היה רשום כבעליהן של שתי חברות כיסוי בעוד הנאשם היה רשום כבעליה של חברת כיסוי אחת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 xml:space="preserve">סבורני כי הנסיבות הקשורות בביצוע העבירה דומות באופן ממשי בין הנאשם לבין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כמפורט להלן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 xml:space="preserve">שניהם תוארו בכתב האישום כמי שנרשמו בהנחייתו של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כבעליהם של חברות כסות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 xml:space="preserve">הנאשם כבעלי חברת קשרץ והנאשם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כבעלי החברות די דניאל וגולד ליבר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כאשר הנאשם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התווה בפועל את פעילות החברות בדרך של הוצאת חשבוניות מס כוזבות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במסגרת חלקם בהתארגנות העבריינית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הנאשם והנאשם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חתמו על מסמכי התקשרות מול הלקוחות ומול חברות ההפצה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והוציאו חשבוניות מס כוזבות על שם החברות שנרשמו בבעלותם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וזאת בהתאם להנחיות של הנאשמים </w:t>
      </w:r>
      <w:r>
        <w:rPr>
          <w:rStyle w:val="default"/>
        </w:rPr>
        <w:t>3-1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בנוסף פעלו מול נותני שירותי מטבע ובכרטסות שנפתחו על שם החברות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 xml:space="preserve">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כאמור נרשם כבעלים של שתי חברות ומכאן שמיוחסות לו יותר עבירות בכתב האישום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הסכום הכולל של חשבוניות המס הכוזבות שהפיץ הנאשם גבוה בכ</w:t>
      </w:r>
      <w:r>
        <w:rPr>
          <w:rStyle w:val="default"/>
          <w:rtl w:val="true"/>
        </w:rPr>
        <w:t>-</w:t>
      </w:r>
      <w:r>
        <w:rPr>
          <w:rStyle w:val="default"/>
        </w:rPr>
        <w:t>70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מיליון ₪ מהסך הכולל של חשבוניות המס הכוזבות שהפיץ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ומנגד הלבנת ההון שביצע 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גבוהה ביותר מ</w:t>
      </w:r>
      <w:r>
        <w:rPr>
          <w:rStyle w:val="default"/>
          <w:rtl w:val="true"/>
        </w:rPr>
        <w:t>-</w:t>
      </w:r>
      <w:r>
        <w:rPr>
          <w:rStyle w:val="default"/>
        </w:rPr>
        <w:t>100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מיליון ₪ מסך הלבנת ההון שביצע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שכפות המאזניים בין השניים נותרות מעויינות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 xml:space="preserve">שני הנאשמים – הנאשם והנאשם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לא היו בין הוגי התוכנית העבריינית ולא גרפו לכיסם את רווחיה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לגבי שניהם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המעשים בוצעו על רקע ניצול של מצוקה אישית וכלכלית שלהם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ולא על רקע עברייני מובהק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נוכח האמור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סבורני כי הנסיבות הקשורות בביצוע העבירות שביצעו הנאשם והנאשם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דומות עד מאוד ולאור עקרון האחידות בענישה יש לקבוע מתחם עונש הולם בעניינו של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כך שיהיה זהה לזה שנקבע בעניינו של הנאשם </w:t>
      </w:r>
      <w:r>
        <w:rPr>
          <w:rStyle w:val="default"/>
        </w:rPr>
        <w:t>8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b/>
          <w:b/>
          <w:bCs/>
          <w:rtl w:val="true"/>
        </w:rPr>
        <w:t>בהקשר זה יודגש כי אלמלא עקרון האחידות בענישה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היה מקום לקבוע מתחם עונש הולם גבוה בהרבה מזה שנקבע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וזאת לאור מידת הפגיעה הרבה בערכים המוגנים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נסיבות ביצוע העבירה ומדיניות הענישה הנוהגת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בהתאם לנתיב שבו פסעה המאשימה בטיעוניה לעונש</w:t>
      </w:r>
      <w:r>
        <w:rPr>
          <w:rStyle w:val="default"/>
          <w:b/>
          <w:bCs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ואולם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קביעת מתחם כאמור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תוביל בהכרח לתוצאה שאינה צודקת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ויש בה משום אפליה פסולה של הנאשם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 xml:space="preserve">הן לעומת הנאשם </w:t>
      </w:r>
      <w:r>
        <w:rPr>
          <w:rStyle w:val="default"/>
          <w:b/>
          <w:bCs/>
        </w:rPr>
        <w:t>8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והן ביחס ליתר הנאשמים בפרשה – כל אחד על פי חלקו היחסי</w:t>
      </w:r>
      <w:r>
        <w:rPr>
          <w:rStyle w:val="default"/>
          <w:b/>
          <w:bCs/>
          <w:rtl w:val="true"/>
        </w:rPr>
        <w:t xml:space="preserve">. </w:t>
      </w:r>
      <w:r>
        <w:rPr>
          <w:rStyle w:val="default"/>
          <w:b/>
          <w:b/>
          <w:bCs/>
          <w:rtl w:val="true"/>
        </w:rPr>
        <w:t>לפיכך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מתחם העונש ההולם שנקבע במקרה הנוכחי אינו משקף את מדינות הענישה הראויה או הנוהגת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אלא את הסיטואציה הייחודית שנוצרה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וראו גם דברי כב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השופט שגיא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</w:t>
      </w:r>
      <w:hyperlink r:id="rId7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24905-02-18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בן דוד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27.3.22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 xml:space="preserve">פיסקה </w:t>
      </w:r>
      <w:r>
        <w:rPr>
          <w:rStyle w:val="default"/>
        </w:rPr>
        <w:t>42</w:t>
      </w:r>
      <w:r>
        <w:rPr>
          <w:rStyle w:val="default"/>
          <w:rtl w:val="true"/>
        </w:rPr>
        <w:t>).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לפיכך</w:t>
      </w:r>
      <w:r>
        <w:rPr>
          <w:rStyle w:val="default"/>
          <w:rtl w:val="true"/>
        </w:rPr>
        <w:t xml:space="preserve">, </w:t>
      </w: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72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הוא החל מ</w:t>
      </w:r>
      <w:r>
        <w:rPr>
          <w:b/>
          <w:bCs/>
          <w:rtl w:val="true"/>
        </w:rPr>
        <w:t>-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בכל הנוגע למתחם הקנס ההולם</w:t>
      </w:r>
      <w:r>
        <w:rPr>
          <w:rtl w:val="true"/>
        </w:rPr>
        <w:t xml:space="preserve">, </w:t>
      </w:r>
      <w:r>
        <w:rPr>
          <w:rtl w:val="true"/>
        </w:rPr>
        <w:t>נתתי דעתי</w:t>
      </w:r>
      <w:r>
        <w:rPr>
          <w:rtl w:val="true"/>
        </w:rPr>
        <w:t xml:space="preserve">, </w:t>
      </w:r>
      <w:r>
        <w:rPr>
          <w:rtl w:val="true"/>
        </w:rPr>
        <w:t>נוסף על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גם לכך שהנאשם קיבל עבור מעשיו משכורת בסך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לחודש בין השנים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 המדובר בסכומים גבוהים מאוד</w:t>
      </w:r>
      <w:r>
        <w:rPr>
          <w:rtl w:val="true"/>
        </w:rPr>
        <w:t xml:space="preserve">, </w:t>
      </w:r>
      <w:r>
        <w:rPr>
          <w:rtl w:val="true"/>
        </w:rPr>
        <w:t>ביחס להיקף עבריינות המס והלבנת ההון</w:t>
      </w:r>
      <w:r>
        <w:rPr>
          <w:rtl w:val="true"/>
        </w:rPr>
        <w:t xml:space="preserve">, </w:t>
      </w:r>
      <w:r>
        <w:rPr>
          <w:rtl w:val="true"/>
        </w:rPr>
        <w:t>ואולם הנאשם ביצע את העבירה בעבור בצע כסף</w:t>
      </w:r>
      <w:r>
        <w:rPr>
          <w:rtl w:val="true"/>
        </w:rPr>
        <w:t xml:space="preserve">, </w:t>
      </w:r>
      <w:r>
        <w:rPr>
          <w:rtl w:val="true"/>
        </w:rPr>
        <w:t>ואף זכה לתגמול עבור 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בקביעת מתחם הקנס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אף במצבו הכלכלי הקשה של הנאשם </w:t>
      </w:r>
      <w:r>
        <w:rPr>
          <w:rtl w:val="true"/>
        </w:rPr>
        <w:t>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מתחם הקנס ההולם הוא החל מ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 xml:space="preserve">ועד </w:t>
      </w:r>
      <w:r>
        <w:rPr/>
        <w:t>150,000</w:t>
      </w:r>
      <w:r>
        <w:rPr>
          <w:rtl w:val="true"/>
        </w:rPr>
        <w:t xml:space="preserve"> ₪. 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שהנאשם  בן </w:t>
      </w:r>
      <w:r>
        <w:rPr>
          <w:rStyle w:val="default"/>
        </w:rPr>
        <w:t>34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מקיים קשר זוגי מזה כעשור ואב לבת כבת שש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 גדל במשפחה בה היה חשוף למצוקה כלכלית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להתמכרות ולעבריינות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מגיל צעיר עבד וסייע בפרנסת משפחתו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לא הצליח לסיים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לימוד ולא התגייס לשירות צבאי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בגיל </w:t>
      </w:r>
      <w:r>
        <w:rPr>
          <w:rStyle w:val="default"/>
        </w:rPr>
        <w:t>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החל לצרוך סמים ואלכוהול ולאורך השנים התמכרותו העמיקה וניסיונותיו להשתקם לא צלחו לאורך זמן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ניתן להניח שלנסיבות חייו השפעה מסוימת ביצוע העבירות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מובן שעונש מאסר ממושך יקשה על הנאשם בהיותו מאסר ראשון עבורו וכן נוכח הריחוק מבת זוגו ובתו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נתתי דעתי למצבו הכלכלי הקשה של הנאשם והחובות הכבדים הקשורים ברובם לחובותיו לרשויות המס נוכח העבירות בהן הורשע במסגרת תיק זה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הנאשם הודה ונטל אחריות למעשיו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השתלב בטיפול גמילה באשפוזית ובהמשך ביחידה לטיפול בהתמכרויות בעיר מגוריו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הוא משתף פעולה בטיפול ותוצאות הבדיקות שנערכות לו נמצאו ללא שרידי סם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עברו הפלילי של הנאשם אינו משמעותי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וכולל הרשעה יחידה משנת </w:t>
      </w:r>
      <w:r>
        <w:rPr>
          <w:rStyle w:val="default"/>
          <w:rFonts w:cs="David" w:ascii="David" w:hAnsi="David"/>
        </w:rPr>
        <w:t>2017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בגין עבירה של איסור הפצה לפי </w:t>
      </w:r>
      <w:hyperlink r:id="rId7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המאבק בתופעת השימוש בחומרים מסכנים</w:t>
        </w:r>
      </w:hyperlink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תשע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ג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2013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בגינה נדון לעונש מאסר מותנה וקנס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כמו כן נתתי דעתי לחלוף הזמן בן כארבע שנים מעת ביצוע העבירה ולתקופה המעצר משך 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שבה שהה הנאשם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בחינת הנסיבות שאינן קשורות בביצוע העבירה בעניינו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לעומת נסיבותיו האישיות של הנאשם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לרבות אי הסרת המחדלים</w:t>
      </w:r>
      <w:r>
        <w:rPr>
          <w:rtl w:val="true"/>
        </w:rPr>
        <w:t xml:space="preserve">, </w:t>
      </w:r>
      <w:r>
        <w:rPr>
          <w:rtl w:val="true"/>
        </w:rPr>
        <w:t xml:space="preserve">מעלה אף היא כי יש לגזור על הנאשם עונש זהה לזה שנגזר על הנאשם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וזאת על אף ההקלה המשמעותית שיש בכך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>
          <w:rStyle w:val="default"/>
        </w:rPr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הנמוך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עונש מאסר על תנאי וקנס כספי</w:t>
      </w:r>
      <w:r>
        <w:rPr>
          <w:rtl w:val="true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1"/>
        </w:numPr>
        <w:tabs>
          <w:tab w:val="left" w:pos="720" w:leader="none"/>
        </w:tabs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4"/>
        </w:numPr>
        <w:tabs>
          <w:tab w:val="left" w:pos="720" w:leader="none"/>
        </w:tabs>
        <w:ind w:hanging="426" w:start="1133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בניכוי ימי מעצרו החל מיום </w:t>
      </w:r>
      <w:r>
        <w:rPr>
          <w:rStyle w:val="default"/>
          <w:rFonts w:cs="David" w:ascii="David" w:hAnsi="David"/>
        </w:rPr>
        <w:t>16.1.18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ועד ליום </w:t>
      </w:r>
      <w:r>
        <w:rPr>
          <w:rStyle w:val="default"/>
          <w:rFonts w:cs="David" w:ascii="David" w:hAnsi="David"/>
        </w:rPr>
        <w:t>6.9.18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4"/>
        </w:numPr>
        <w:tabs>
          <w:tab w:val="left" w:pos="720" w:leader="none"/>
        </w:tabs>
        <w:ind w:hanging="426" w:start="1133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עבירה מהעבירות שבהן הורשע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4"/>
        </w:numPr>
        <w:tabs>
          <w:tab w:val="left" w:pos="720" w:leader="none"/>
        </w:tabs>
        <w:ind w:hanging="426" w:start="1133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50,000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50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הקנס ישולם ב</w:t>
      </w:r>
      <w:r>
        <w:rPr>
          <w:rStyle w:val="default"/>
          <w:rFonts w:cs="David" w:ascii="David" w:hAnsi="David"/>
          <w:rtl w:val="true"/>
        </w:rPr>
        <w:t xml:space="preserve">-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 שווים</w:t>
      </w:r>
      <w:r>
        <w:rPr>
          <w:rFonts w:ascii="David" w:hAnsi="David"/>
          <w:rtl w:val="true"/>
          <w:lang w:eastAsia="he-IL"/>
        </w:rPr>
        <w:t xml:space="preserve"> ורצופים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שהראשון שבהם ביום </w:t>
      </w:r>
      <w:r>
        <w:rPr>
          <w:rFonts w:cs="David" w:ascii="David" w:hAnsi="David"/>
          <w:lang w:eastAsia="he-IL"/>
        </w:rPr>
        <w:t>1.9.22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אם לא ישולם תשלום כלשהו במועדו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תעמוד היתרה לפירעון מיידי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15.8.22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074-7831077</w:t>
      </w:r>
      <w:r>
        <w:rPr>
          <w:rtl w:val="true"/>
          <w:lang w:eastAsia="he-IL"/>
        </w:rPr>
        <w:t xml:space="preserve">,  </w:t>
      </w:r>
      <w:r>
        <w:rPr>
          <w:lang w:eastAsia="he-IL"/>
        </w:rPr>
        <w:t>074-7831078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4"/>
        </w:numPr>
        <w:tabs>
          <w:tab w:val="left" w:pos="720" w:leader="none"/>
        </w:tabs>
        <w:ind w:hanging="360" w:start="72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אני גוזר על הנאשמת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קנס כספי בסך של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₪.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7"/>
      <w:footerReference w:type="default" r:id="rId7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24905-02-18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אבירן ערבה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0"/>
        </w:tabs>
        <w:ind w:start="1440" w:hanging="360"/>
      </w:pPr>
      <w:rPr>
        <w:rFonts w:ascii="Times New Roman" w:hAnsi="Times New Roman" w:eastAsia="Times New Roman"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1">
    <w:name w:val="WW8Num2z1"/>
    <w:qFormat/>
    <w:rPr>
      <w:rFonts w:ascii="Times New Roman" w:hAnsi="Times New Roman" w:eastAsia="Times New Roman" w:cs="David"/>
    </w:rPr>
  </w:style>
  <w:style w:type="character" w:styleId="WW8Num4z0">
    <w:name w:val="WW8Num4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117.b.1" TargetMode="External"/><Relationship Id="rId5" Type="http://schemas.openxmlformats.org/officeDocument/2006/relationships/hyperlink" Target="http://www.nevo.co.il/law/72813/117.b.3" TargetMode="External"/><Relationship Id="rId6" Type="http://schemas.openxmlformats.org/officeDocument/2006/relationships/hyperlink" Target="http://www.nevo.co.il/law/72813/117.b.5" TargetMode="External"/><Relationship Id="rId7" Type="http://schemas.openxmlformats.org/officeDocument/2006/relationships/hyperlink" Target="http://www.nevo.co.il/law/72813/117.b.6" TargetMode="External"/><Relationship Id="rId8" Type="http://schemas.openxmlformats.org/officeDocument/2006/relationships/hyperlink" Target="http://www.nevo.co.il/law/72813/117.b.8" TargetMode="External"/><Relationship Id="rId9" Type="http://schemas.openxmlformats.org/officeDocument/2006/relationships/hyperlink" Target="http://www.nevo.co.il/law/72813/117.b1" TargetMode="External"/><Relationship Id="rId10" Type="http://schemas.openxmlformats.org/officeDocument/2006/relationships/hyperlink" Target="http://www.nevo.co.il/law/72813/117.b2.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84255/220.2" TargetMode="External"/><Relationship Id="rId13" Type="http://schemas.openxmlformats.org/officeDocument/2006/relationships/hyperlink" Target="http://www.nevo.co.il/law/84255/220.4" TargetMode="External"/><Relationship Id="rId14" Type="http://schemas.openxmlformats.org/officeDocument/2006/relationships/hyperlink" Target="http://www.nevo.co.il/law/84255/220.5" TargetMode="External"/><Relationship Id="rId15" Type="http://schemas.openxmlformats.org/officeDocument/2006/relationships/hyperlink" Target="http://www.nevo.co.il/law/74345" TargetMode="External"/><Relationship Id="rId16" Type="http://schemas.openxmlformats.org/officeDocument/2006/relationships/hyperlink" Target="http://www.nevo.co.il/law/74345/3.a" TargetMode="External"/><Relationship Id="rId17" Type="http://schemas.openxmlformats.org/officeDocument/2006/relationships/hyperlink" Target="http://www.nevo.co.il/law/74345/4" TargetMode="External"/><Relationship Id="rId18" Type="http://schemas.openxmlformats.org/officeDocument/2006/relationships/hyperlink" Target="http://www.nevo.co.il/law/737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h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127622" TargetMode="External"/><Relationship Id="rId23" Type="http://schemas.openxmlformats.org/officeDocument/2006/relationships/hyperlink" Target="http://www.nevo.co.il/law/72813/117.b.1" TargetMode="External"/><Relationship Id="rId24" Type="http://schemas.openxmlformats.org/officeDocument/2006/relationships/hyperlink" Target="http://www.nevo.co.il/law/72813/117.b2.3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law/72813/117.b.3" TargetMode="External"/><Relationship Id="rId28" Type="http://schemas.openxmlformats.org/officeDocument/2006/relationships/hyperlink" Target="http://www.nevo.co.il/law/72813/117.b2.3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72813/117.b.6" TargetMode="External"/><Relationship Id="rId31" Type="http://schemas.openxmlformats.org/officeDocument/2006/relationships/hyperlink" Target="http://www.nevo.co.il/law/72813/117.b2.3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aw/72813/117.b.8" TargetMode="External"/><Relationship Id="rId34" Type="http://schemas.openxmlformats.org/officeDocument/2006/relationships/hyperlink" Target="http://www.nevo.co.il/law/72813/117.b2.3" TargetMode="External"/><Relationship Id="rId35" Type="http://schemas.openxmlformats.org/officeDocument/2006/relationships/hyperlink" Target="http://www.nevo.co.il/law/72813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84255/220.2" TargetMode="External"/><Relationship Id="rId38" Type="http://schemas.openxmlformats.org/officeDocument/2006/relationships/hyperlink" Target="http://www.nevo.co.il/law/84255/220.4" TargetMode="External"/><Relationship Id="rId39" Type="http://schemas.openxmlformats.org/officeDocument/2006/relationships/hyperlink" Target="http://www.nevo.co.il/law/84255/220.5" TargetMode="External"/><Relationship Id="rId40" Type="http://schemas.openxmlformats.org/officeDocument/2006/relationships/hyperlink" Target="http://www.nevo.co.il/law/72813/117.b1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72813/38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7.b.5" TargetMode="External"/><Relationship Id="rId45" Type="http://schemas.openxmlformats.org/officeDocument/2006/relationships/hyperlink" Target="http://www.nevo.co.il/law/72813/117.b2.3" TargetMode="External"/><Relationship Id="rId46" Type="http://schemas.openxmlformats.org/officeDocument/2006/relationships/hyperlink" Target="http://www.nevo.co.il/law/72813/117.b1" TargetMode="External"/><Relationship Id="rId47" Type="http://schemas.openxmlformats.org/officeDocument/2006/relationships/hyperlink" Target="http://www.nevo.co.il/law/72813/117.b2.3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84255/220.5" TargetMode="External"/><Relationship Id="rId50" Type="http://schemas.openxmlformats.org/officeDocument/2006/relationships/hyperlink" Target="http://www.nevo.co.il/law/74345/3.a" TargetMode="External"/><Relationship Id="rId51" Type="http://schemas.openxmlformats.org/officeDocument/2006/relationships/hyperlink" Target="http://www.nevo.co.il/law/74345" TargetMode="External"/><Relationship Id="rId52" Type="http://schemas.openxmlformats.org/officeDocument/2006/relationships/hyperlink" Target="http://www.nevo.co.il/law/74345/4" TargetMode="External"/><Relationship Id="rId53" Type="http://schemas.openxmlformats.org/officeDocument/2006/relationships/hyperlink" Target="http://www.nevo.co.il/law/74345" TargetMode="External"/><Relationship Id="rId54" Type="http://schemas.openxmlformats.org/officeDocument/2006/relationships/hyperlink" Target="http://www.nevo.co.il/law/73701" TargetMode="External"/><Relationship Id="rId55" Type="http://schemas.openxmlformats.org/officeDocument/2006/relationships/hyperlink" Target="http://www.nevo.co.il/law/74345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law/84255" TargetMode="External"/><Relationship Id="rId58" Type="http://schemas.openxmlformats.org/officeDocument/2006/relationships/hyperlink" Target="http://www.nevo.co.il/law/74345" TargetMode="External"/><Relationship Id="rId59" Type="http://schemas.openxmlformats.org/officeDocument/2006/relationships/hyperlink" Target="http://www.nevo.co.il/law/74345" TargetMode="External"/><Relationship Id="rId60" Type="http://schemas.openxmlformats.org/officeDocument/2006/relationships/hyperlink" Target="http://www.nevo.co.il/case/5751056" TargetMode="External"/><Relationship Id="rId61" Type="http://schemas.openxmlformats.org/officeDocument/2006/relationships/hyperlink" Target="http://www.nevo.co.il/case/24492997" TargetMode="External"/><Relationship Id="rId62" Type="http://schemas.openxmlformats.org/officeDocument/2006/relationships/hyperlink" Target="http://www.nevo.co.il/case/21053239" TargetMode="External"/><Relationship Id="rId63" Type="http://schemas.openxmlformats.org/officeDocument/2006/relationships/hyperlink" Target="http://www.nevo.co.il/case/6887384" TargetMode="External"/><Relationship Id="rId64" Type="http://schemas.openxmlformats.org/officeDocument/2006/relationships/hyperlink" Target="http://www.nevo.co.il/case/28340195" TargetMode="External"/><Relationship Id="rId65" Type="http://schemas.openxmlformats.org/officeDocument/2006/relationships/hyperlink" Target="http://www.nevo.co.il/case/5826430" TargetMode="External"/><Relationship Id="rId66" Type="http://schemas.openxmlformats.org/officeDocument/2006/relationships/hyperlink" Target="http://www.nevo.co.il/case/23635384" TargetMode="External"/><Relationship Id="rId67" Type="http://schemas.openxmlformats.org/officeDocument/2006/relationships/hyperlink" Target="http://www.nevo.co.il/case/22636330" TargetMode="External"/><Relationship Id="rId68" Type="http://schemas.openxmlformats.org/officeDocument/2006/relationships/hyperlink" Target="http://www.nevo.co.il/case/7697315" TargetMode="External"/><Relationship Id="rId69" Type="http://schemas.openxmlformats.org/officeDocument/2006/relationships/hyperlink" Target="http://www.nevo.co.il/law/73701" TargetMode="External"/><Relationship Id="rId70" Type="http://schemas.openxmlformats.org/officeDocument/2006/relationships/hyperlink" Target="http://www.nevo.co.il/case/23635384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c" TargetMode="External"/><Relationship Id="rId73" Type="http://schemas.openxmlformats.org/officeDocument/2006/relationships/hyperlink" Target="http://www.nevo.co.il/law/70301/40h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127622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2023-03-19T14:54:00Z</dcterms:created>
  <dc:creator> </dc:creator>
  <dc:description/>
  <cp:keywords/>
  <dc:language>en-IL</dc:language>
  <cp:lastModifiedBy>h1</cp:lastModifiedBy>
  <dcterms:modified xsi:type="dcterms:W3CDTF">2023-03-19T14:54:00Z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אבירן ערבה;קשרץ תקשורת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5751056;24492997;21053239;6887384;28340195;5826430;23635384:2;22636330;7697315</vt:lpwstr>
  </property>
  <property fmtid="{D5CDD505-2E9C-101B-9397-08002B2CF9AE}" pid="9" name="CITY">
    <vt:lpwstr>מרכז</vt:lpwstr>
  </property>
  <property fmtid="{D5CDD505-2E9C-101B-9397-08002B2CF9AE}" pid="10" name="DATE">
    <vt:lpwstr>20220620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72813/117.b.1;117.b2.3:6;117.b.3;117.b.6;117.b.8;117.b1:2;038;117.b.5</vt:lpwstr>
  </property>
  <property fmtid="{D5CDD505-2E9C-101B-9397-08002B2CF9AE}" pid="15" name="LAWLISTTMP2">
    <vt:lpwstr>84255/220.2;220.4;220.5:2</vt:lpwstr>
  </property>
  <property fmtid="{D5CDD505-2E9C-101B-9397-08002B2CF9AE}" pid="16" name="LAWLISTTMP3">
    <vt:lpwstr>74345/003.a;004</vt:lpwstr>
  </property>
  <property fmtid="{D5CDD505-2E9C-101B-9397-08002B2CF9AE}" pid="17" name="LAWLISTTMP4">
    <vt:lpwstr>73701:2</vt:lpwstr>
  </property>
  <property fmtid="{D5CDD505-2E9C-101B-9397-08002B2CF9AE}" pid="18" name="LAWLISTTMP5">
    <vt:lpwstr>70301/40jc;040h</vt:lpwstr>
  </property>
  <property fmtid="{D5CDD505-2E9C-101B-9397-08002B2CF9AE}" pid="19" name="LAWLISTTMP6">
    <vt:lpwstr>127622</vt:lpwstr>
  </property>
  <property fmtid="{D5CDD505-2E9C-101B-9397-08002B2CF9AE}" pid="20" name="LAWYER">
    <vt:lpwstr>הילה גבאי;עידו נולמן;משה שמיר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24905;23202</vt:lpwstr>
  </property>
  <property fmtid="{D5CDD505-2E9C-101B-9397-08002B2CF9AE}" pid="27" name="NEWPARTB">
    <vt:lpwstr>02;01</vt:lpwstr>
  </property>
  <property fmtid="{D5CDD505-2E9C-101B-9397-08002B2CF9AE}" pid="28" name="NEWPARTC">
    <vt:lpwstr>18;20</vt:lpwstr>
  </property>
  <property fmtid="{D5CDD505-2E9C-101B-9397-08002B2CF9AE}" pid="29" name="NEWPROC">
    <vt:lpwstr>תפח;תפח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390020220620</vt:lpwstr>
  </property>
  <property fmtid="{D5CDD505-2E9C-101B-9397-08002B2CF9AE}" pid="39" name="TYPE_N_DATE">
    <vt:lpwstr>39020220620</vt:lpwstr>
  </property>
  <property fmtid="{D5CDD505-2E9C-101B-9397-08002B2CF9AE}" pid="40" name="VOLUME">
    <vt:lpwstr/>
  </property>
  <property fmtid="{D5CDD505-2E9C-101B-9397-08002B2CF9AE}" pid="41" name="WORDNUMPAGES">
    <vt:lpwstr>15</vt:lpwstr>
  </property>
</Properties>
</file>