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26101-05-16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סובח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4"/>
        <w:gridCol w:w="2796"/>
        <w:gridCol w:w="5922"/>
      </w:tblGrid>
      <w:tr>
        <w:trPr/>
        <w:tc>
          <w:tcPr>
            <w:tcW w:w="130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קוטון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105" w:hRule="atLeast"/>
          <w:cantSplit w:val="true"/>
        </w:trPr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סובח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אבראהים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92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93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rtl w:val="true"/>
          </w:rPr>
          <w:t>חוק</w:t>
        </w:r>
        <w:r>
          <w:rPr>
            <w:rStyle w:val="Hyperlink"/>
            <w:rFonts w:ascii="David" w:hAnsi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329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rtl w:val="true"/>
          </w:rPr>
          <w:t>חוק</w:t>
        </w:r>
        <w:r>
          <w:rPr>
            <w:rStyle w:val="Hyperlink"/>
            <w:rFonts w:ascii="David" w:hAnsi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329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)+</w:t>
        </w:r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בתמצית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חלק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דיידה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הכפר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מהדי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צאלח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פאלח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צאלח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מאורגן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באוטובוסים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ההסעות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ולאומני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נרצחו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ובהשראתם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1/1/16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פרט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הראשון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מימושו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באוטובוס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20-25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קפיצית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האוטובוס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אחיהוד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פרט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השני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כשאהיד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קפיצית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הסכין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לצאלח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באוטובוס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האוטובוס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האסלאם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האוטובוס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האוטובוס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האסלאם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ולהשאירה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לשאהיד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כשאהידים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במתפללים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בעכו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כנקמה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המוסלמית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אוגוסט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4/4/16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כנסת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כשאהיד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ונהרגו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4/4/16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בעכו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בעכו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/>
          <w:sz w:val="22"/>
          <w:szCs w:val="22"/>
        </w:rPr>
        <w:t>FN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/>
          <w:sz w:val="22"/>
          <w:szCs w:val="22"/>
        </w:rPr>
        <w:t>FN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לשאהיד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לצאלח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פרט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השלישי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cs="Calibri"/>
          <w:b/>
          <w:b/>
          <w:bCs/>
          <w:u w:val="single"/>
          <w:rtl w:val="true"/>
        </w:rPr>
        <w:t>מיוחס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בלבד</w:t>
      </w:r>
      <w:r>
        <w:rPr>
          <w:rFonts w:cs="Calibri" w:ascii="Calibri" w:hAnsi="Calibri"/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המחסנית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/>
          <w:sz w:val="22"/>
          <w:szCs w:val="22"/>
        </w:rPr>
        <w:t>M-16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וכ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/>
          <w:sz w:val="22"/>
          <w:szCs w:val="22"/>
        </w:rPr>
        <w:t>M-16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Times New Roman"/>
          <w:sz w:val="22"/>
          <w:szCs w:val="22"/>
        </w:rPr>
        <w:t>M-16</w:t>
      </w:r>
      <w:r>
        <w:rPr>
          <w:rFonts w:cs="Times New Roman"/>
          <w:sz w:val="22"/>
          <w:szCs w:val="22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M-16</w:t>
      </w:r>
      <w:r>
        <w:rPr>
          <w:sz w:val="22"/>
          <w:szCs w:val="22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Times New Roman"/>
          <w:sz w:val="22"/>
          <w:szCs w:val="22"/>
        </w:rPr>
        <w:t>M-16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Times New Roman"/>
          <w:sz w:val="22"/>
          <w:szCs w:val="22"/>
        </w:rPr>
        <w:t>M-16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 w:ascii="Calibri" w:hAnsi="Calibri"/>
          <w:sz w:val="16"/>
          <w:szCs w:val="16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המסתור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25/4/16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הסדר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מהכפירה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פלילי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חוות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פסיכיאטרית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(</w:t>
      </w:r>
      <w:r>
        <w:rPr>
          <w:rFonts w:ascii="Calibri" w:hAnsi="Calibri" w:cs="Calibri"/>
          <w:b/>
          <w:b/>
          <w:bCs/>
          <w:u w:val="single"/>
          <w:rtl w:val="true"/>
        </w:rPr>
        <w:t>להלן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בפרק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cs="Calibri" w:ascii="Calibri" w:hAnsi="Calibri"/>
          <w:b/>
          <w:bCs/>
          <w:u w:val="single"/>
          <w:rtl w:val="true"/>
        </w:rPr>
        <w:t xml:space="preserve">: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מנוגדות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פאנל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26/2/17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פרוטוקולים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21/11/16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14/12/16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המומחים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צנעת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המומחים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92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דיידה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לסירוגין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המומחים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ממצוקתו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סכיזופרניה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מליקוי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סכיזופרני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סכיזופרניה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ורציונליות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החופשיות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המומחים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המומחים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אמבולטורי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ישהה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הייחודיות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במחשבותיו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התחלתיות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הסנגורים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בסכינים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sz w:val="16"/>
          <w:szCs w:val="16"/>
        </w:rPr>
      </w:pPr>
      <w:r>
        <w:rPr>
          <w:rFonts w:cs="Calibri" w:ascii="Calibri" w:hAnsi="Calibri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משפחותיהם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rtl w:val="true"/>
          </w:rPr>
          <w:t>תפ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ח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46412-12-15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ומתחרט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הלקח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מתנצל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בגלל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ואנחנו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ליהודים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להיפך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>".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26-31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Arial" w:ascii="Arial" w:hAnsi="Arial"/>
          <w:b/>
          <w:bCs/>
          <w:lang w:eastAsia="he-IL"/>
        </w:rPr>
        <w:t>8</w:t>
      </w:r>
      <w:r>
        <w:rPr>
          <w:rFonts w:cs="Arial" w:ascii="Arial" w:hAnsi="Arial"/>
          <w:b/>
          <w:bCs/>
          <w:rtl w:val="true"/>
          <w:lang w:eastAsia="he-IL"/>
        </w:rPr>
        <w:t>.</w:t>
      </w:r>
      <w:r>
        <w:rPr>
          <w:rFonts w:cs="Arial" w:ascii="Arial" w:hAnsi="Arial"/>
          <w:rtl w:val="true"/>
          <w:lang w:eastAsia="he-IL"/>
        </w:rPr>
        <w:tab/>
      </w:r>
      <w:r>
        <w:rPr>
          <w:rFonts w:ascii="Arial" w:hAnsi="Arial" w:cs="Arial"/>
          <w:rtl w:val="true"/>
          <w:lang w:eastAsia="he-IL"/>
        </w:rPr>
        <w:t>נחזור על מושכלות ראשונים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כי בגזירת הדין על בית המשפט ליתן ביטוי לשיקולי גמול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הרתעה ומניעה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לנסיבות ביצוע העבירות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לחומרתן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נפיצותן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השלכותיהן על הציבור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כגון מידת הפגיעה בביטחון הציבור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החשש והפחד שמעשים אלה נוטעים בלב הציבור ועוד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כן יישקלו הנסיבות האישיות של מבצע העבירות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גילו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עברו הפלילי ושיקולי שיקום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תוך איזון בין האינטרסים השונים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ראו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לעניין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15">
        <w:r>
          <w:rPr>
            <w:rStyle w:val="Hyperlink"/>
            <w:rFonts w:ascii="Calibri" w:hAnsi="Calibri" w:cs="Calibri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lang w:eastAsia="he-IL"/>
          </w:rPr>
          <w:t>4890/01</w:t>
        </w:r>
        <w:r>
          <w:rPr>
            <w:rStyle w:val="Hyperlink"/>
            <w:rFonts w:cs="Calibri" w:ascii="Calibri" w:hAnsi="Calibri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מ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י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נ</w:t>
        </w:r>
        <w:r>
          <w:rPr>
            <w:rStyle w:val="Hyperlink"/>
            <w:rFonts w:cs="Calibri" w:ascii="Calibri" w:hAnsi="Calibri"/>
            <w:rtl w:val="true"/>
            <w:lang w:eastAsia="he-IL"/>
          </w:rPr>
          <w:t xml:space="preserve">' 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פלוני</w:t>
        </w:r>
        <w:r>
          <w:rPr>
            <w:rStyle w:val="Hyperlink"/>
            <w:rFonts w:cs="Calibri" w:ascii="Calibri" w:hAnsi="Calibri"/>
            <w:rtl w:val="true"/>
            <w:lang w:eastAsia="he-IL"/>
          </w:rPr>
          <w:t xml:space="preserve">, 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פ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ד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נו</w:t>
        </w:r>
      </w:hyperlink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 xml:space="preserve">), </w:t>
      </w:r>
      <w:r>
        <w:rPr>
          <w:rFonts w:cs="Calibri" w:ascii="Calibri" w:hAnsi="Calibri"/>
          <w:lang w:eastAsia="he-IL"/>
        </w:rPr>
        <w:t>594</w:t>
      </w:r>
      <w:r>
        <w:rPr>
          <w:rFonts w:cs="Calibri" w:ascii="Calibri" w:hAnsi="Calibri"/>
          <w:rtl w:val="true"/>
          <w:lang w:eastAsia="he-IL"/>
        </w:rPr>
        <w:t xml:space="preserve"> (</w:t>
      </w:r>
      <w:r>
        <w:rPr>
          <w:rFonts w:ascii="Calibri" w:hAnsi="Calibri" w:cs="Calibri"/>
          <w:rtl w:val="true"/>
          <w:lang w:eastAsia="he-IL"/>
        </w:rPr>
        <w:t>להלן</w:t>
      </w:r>
      <w:r>
        <w:rPr>
          <w:rFonts w:cs="Calibri" w:ascii="Calibri" w:hAnsi="Calibri"/>
          <w:rtl w:val="true"/>
          <w:lang w:eastAsia="he-IL"/>
        </w:rPr>
        <w:t xml:space="preserve">: </w:t>
      </w:r>
      <w:r>
        <w:rPr>
          <w:rFonts w:ascii="Calibri" w:hAnsi="Calibri" w:cs="Calibri"/>
          <w:rtl w:val="true"/>
          <w:lang w:eastAsia="he-IL"/>
        </w:rPr>
        <w:t>ענין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פלוני</w:t>
      </w:r>
      <w:r>
        <w:rPr>
          <w:rFonts w:cs="Calibri" w:ascii="Calibri" w:hAnsi="Calibri"/>
          <w:rtl w:val="true"/>
          <w:lang w:eastAsia="he-IL"/>
        </w:rPr>
        <w:t>)).</w:t>
      </w:r>
      <w:r>
        <w:rPr>
          <w:rFonts w:cs="Calibri" w:ascii="Calibri" w:hAnsi="Calibri"/>
          <w:b/>
          <w:bCs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(</w:t>
      </w:r>
      <w:r>
        <w:rPr>
          <w:rFonts w:ascii="Arial" w:hAnsi="Arial" w:cs="Arial"/>
          <w:rtl w:val="true"/>
        </w:rPr>
        <w:t>לענין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דבריו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1523/10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18/4/12</w:t>
        </w:r>
        <w:r>
          <w:rPr>
            <w:rStyle w:val="Hyperlink"/>
            <w:rtl w:val="true"/>
          </w:rPr>
          <w:t xml:space="preserve">), </w:t>
        </w:r>
        <w:r>
          <w:rPr>
            <w:rStyle w:val="Hyperlink"/>
            <w:rtl w:val="true"/>
          </w:rPr>
          <w:t>וכן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156/80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כוכבי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בנימין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סכינים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לזאת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,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ובלשון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הנכסים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הוא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מבחוץ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מפתיע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סחונציק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24/10/12</w:t>
      </w:r>
      <w:r>
        <w:rPr>
          <w:rtl w:val="true"/>
        </w:rPr>
        <w:t>)).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להחמיר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לאומני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8">
        <w:r>
          <w:rPr>
            <w:rStyle w:val="Hyperlink"/>
            <w:rtl w:val="true"/>
            <w:lang w:val="en-IL" w:eastAsia="en-IL"/>
          </w:rPr>
          <w:t>ע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1833/16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בקר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מוגרבי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2/8/16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מלצר</w:t>
      </w:r>
      <w:r>
        <w:rPr>
          <w:rtl w:val="true"/>
          <w:lang w:val="en-IL" w:eastAsia="en-IL"/>
        </w:rPr>
        <w:t>:</w:t>
      </w:r>
    </w:p>
    <w:p>
      <w:pPr>
        <w:pStyle w:val="Normal"/>
        <w:overflowPunct w:val="false"/>
        <w:autoSpaceDE w:val="false"/>
        <w:ind w:start="720" w:end="0"/>
        <w:jc w:val="start"/>
        <w:rPr>
          <w:rFonts w:cs="Miriam"/>
          <w:lang w:val="en-IL" w:eastAsia="en-IL"/>
        </w:rPr>
      </w:pPr>
      <w:r>
        <w:rPr>
          <w:rFonts w:cs="Miriam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Fonts w:cs="Miriam"/>
          <w:rtl w:val="true"/>
          <w:lang w:val="en-IL" w:eastAsia="en-IL"/>
        </w:rPr>
        <w:t>"</w:t>
      </w:r>
      <w:r>
        <w:rPr>
          <w:rFonts w:cs="Miriam"/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להזכיר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היתרה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שמיוחסת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בפסיקת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לאותם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מבוצעות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אלימות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אידיאולוגי</w:t>
      </w:r>
      <w:r>
        <w:rPr>
          <w:rFonts w:cs="Miriam"/>
          <w:rtl w:val="true"/>
          <w:lang w:val="en-IL" w:eastAsia="en-IL"/>
        </w:rPr>
        <w:t>-</w:t>
      </w:r>
      <w:r>
        <w:rPr>
          <w:rFonts w:cs="Miriam"/>
          <w:rtl w:val="true"/>
          <w:lang w:val="en-IL" w:eastAsia="en-IL"/>
        </w:rPr>
        <w:t>לאומני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אגב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קר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שהיו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כאן</w:t>
      </w:r>
      <w:r>
        <w:rPr>
          <w:rFonts w:cs="Miriam"/>
          <w:rtl w:val="true"/>
          <w:lang w:val="en-IL" w:eastAsia="en-IL"/>
        </w:rPr>
        <w:t xml:space="preserve">. </w:t>
      </w:r>
      <w:r>
        <w:rPr>
          <w:rFonts w:cs="Miriam"/>
          <w:rtl w:val="true"/>
          <w:lang w:val="en-IL" w:eastAsia="en-IL"/>
        </w:rPr>
        <w:t>יפים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לעניין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זה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הדברים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שנאמרו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</w:t>
      </w:r>
      <w:r>
        <w:rPr>
          <w:rFonts w:cs="Miriam"/>
          <w:rtl w:val="true"/>
          <w:lang w:val="en-IL" w:eastAsia="en-IL"/>
        </w:rPr>
        <w:t>-</w:t>
      </w:r>
      <w:hyperlink r:id="rId19">
        <w:bookmarkStart w:id="11" w:name="Text1"/>
        <w:r>
          <w:rPr>
            <w:rStyle w:val="Hyperlink"/>
            <w:rFonts w:cs="Miriam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lang w:val="en-IL" w:eastAsia="en-IL"/>
          </w:rPr>
          <w:t>1456/07</w:t>
        </w:r>
        <w:r>
          <w:rPr>
            <w:rStyle w:val="Hyperlink"/>
            <w:rFonts w:cs="Miriam"/>
            <w:color w:val="0000FF"/>
            <w:u w:val="single"/>
            <w:rtl w:val="true"/>
            <w:lang w:val="en-IL" w:eastAsia="en-IL"/>
          </w:rPr>
          <w:t>‏</w:t>
        </w:r>
      </w:hyperlink>
      <w:r>
        <w:rPr>
          <w:rFonts w:cs="Miriam"/>
          <w:rtl w:val="true"/>
          <w:lang w:val="en-IL" w:eastAsia="en-IL"/>
        </w:rPr>
        <w:t xml:space="preserve"> </w:t>
      </w:r>
      <w:bookmarkEnd w:id="11"/>
      <w:r>
        <w:rPr>
          <w:rFonts w:cs="Miriam"/>
          <w:rtl w:val="true"/>
          <w:lang w:val="en-IL" w:eastAsia="en-IL"/>
        </w:rPr>
        <w:t>פלוני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</w:t>
      </w:r>
      <w:r>
        <w:rPr>
          <w:rFonts w:cs="Miriam"/>
          <w:rtl w:val="true"/>
          <w:lang w:val="en-IL" w:eastAsia="en-IL"/>
        </w:rPr>
        <w:t xml:space="preserve">' </w:t>
      </w:r>
      <w:r>
        <w:rPr>
          <w:rFonts w:cs="Miriam"/>
          <w:rtl w:val="true"/>
          <w:lang w:val="en-IL" w:eastAsia="en-IL"/>
        </w:rPr>
        <w:t>מדינת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(</w:t>
      </w:r>
      <w:r>
        <w:rPr>
          <w:rFonts w:cs="Miriam"/>
          <w:lang w:val="en-IL" w:eastAsia="en-IL"/>
        </w:rPr>
        <w:t>10.07.2007</w:t>
      </w:r>
      <w:r>
        <w:rPr>
          <w:rFonts w:cs="Miriam"/>
          <w:rtl w:val="true"/>
          <w:lang w:val="en-IL" w:eastAsia="en-IL"/>
        </w:rPr>
        <w:t xml:space="preserve">): 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lang w:val="en-IL" w:eastAsia="en-IL"/>
        </w:rPr>
      </w:pPr>
      <w:r>
        <w:rPr>
          <w:rFonts w:cs="Miriam"/>
          <w:rtl w:val="true"/>
          <w:lang w:val="en-IL" w:eastAsia="en-IL"/>
        </w:rPr>
        <w:t>"</w:t>
      </w:r>
      <w:r>
        <w:rPr>
          <w:rFonts w:cs="Miriam"/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להרים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קולו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בגאון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ולהשמיע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דברו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הבאים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עליה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לכלותה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הרוצים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לפגוע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בחיילים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באזרחים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תמימים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עוברי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כשלהט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אידיאולוגי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מקנן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בלבם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והרג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מתוכננים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מטרתם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ולהציב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ברור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שישמש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כגורם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מרתיע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למערערים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עצמם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החוככים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בדעתם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לנקוט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הדרך</w:t>
      </w:r>
      <w:r>
        <w:rPr>
          <w:rFonts w:cs="Miriam"/>
          <w:rtl w:val="true"/>
          <w:lang w:val="en-IL" w:eastAsia="en-IL"/>
        </w:rPr>
        <w:t xml:space="preserve">. </w:t>
      </w:r>
      <w:r>
        <w:rPr>
          <w:rFonts w:cs="Miriam"/>
          <w:rtl w:val="true"/>
          <w:lang w:val="en-IL" w:eastAsia="en-IL"/>
        </w:rPr>
        <w:t>בעניינים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להקפיד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בקלה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כבחמורה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להקל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ראש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המתוכננת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הושגה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נס</w:t>
      </w:r>
      <w:r>
        <w:rPr>
          <w:rFonts w:cs="Miriam"/>
          <w:rtl w:val="true"/>
          <w:lang w:val="en-IL" w:eastAsia="en-IL"/>
        </w:rPr>
        <w:t>" (</w:t>
      </w:r>
      <w:r>
        <w:rPr>
          <w:rFonts w:cs="Miriam"/>
          <w:rtl w:val="true"/>
          <w:lang w:val="en-IL" w:eastAsia="en-IL"/>
        </w:rPr>
        <w:t>שם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בפיסקה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lang w:val="en-IL" w:eastAsia="en-IL"/>
        </w:rPr>
        <w:t>6</w:t>
      </w:r>
      <w:r>
        <w:rPr>
          <w:rFonts w:cs="Miriam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כב</w:t>
      </w:r>
      <w:r>
        <w:rPr>
          <w:rFonts w:cs="Miriam"/>
          <w:rtl w:val="true"/>
          <w:lang w:val="en-IL" w:eastAsia="en-IL"/>
        </w:rPr>
        <w:t xml:space="preserve">' </w:t>
      </w:r>
      <w:r>
        <w:rPr>
          <w:rFonts w:cs="Miriam"/>
          <w:rtl w:val="true"/>
          <w:lang w:val="en-IL" w:eastAsia="en-IL"/>
        </w:rPr>
        <w:t>השופטת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</w:t>
      </w:r>
      <w:r>
        <w:rPr>
          <w:rFonts w:cs="Miriam"/>
          <w:rtl w:val="true"/>
          <w:lang w:val="en-IL" w:eastAsia="en-IL"/>
        </w:rPr>
        <w:t xml:space="preserve">' </w:t>
      </w:r>
      <w:r>
        <w:rPr>
          <w:rFonts w:cs="Miriam"/>
          <w:rtl w:val="true"/>
          <w:lang w:val="en-IL" w:eastAsia="en-IL"/>
        </w:rPr>
        <w:t>ארבל</w:t>
      </w:r>
      <w:r>
        <w:rPr>
          <w:rFonts w:cs="Miriam"/>
          <w:rtl w:val="true"/>
          <w:lang w:val="en-IL" w:eastAsia="en-IL"/>
        </w:rPr>
        <w:t>)".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cs="Miriam"/>
          <w:sz w:val="28"/>
          <w:szCs w:val="28"/>
          <w:lang w:val="en-IL" w:eastAsia="en-IL"/>
        </w:rPr>
      </w:pPr>
      <w:r>
        <w:rPr>
          <w:rFonts w:cs="Miriam"/>
          <w:sz w:val="28"/>
          <w:szCs w:val="28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  <w:lang w:val="en-IL" w:eastAsia="en-IL"/>
        </w:rPr>
        <w:t>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בהחמרת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זמינותו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הקלות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שימוש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לתרום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להרתעה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ומניעה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תופעה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hyperlink r:id="rId20">
        <w:r>
          <w:rPr>
            <w:rStyle w:val="Hyperlink"/>
            <w:rtl w:val="true"/>
            <w:lang w:val="en-IL" w:eastAsia="en-IL"/>
          </w:rPr>
          <w:t>ע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1332/04</w:t>
        </w:r>
        <w:r>
          <w:rPr>
            <w:rStyle w:val="Hyperlink"/>
            <w:rtl w:val="true"/>
            <w:lang w:val="en-IL" w:eastAsia="en-IL"/>
          </w:rPr>
          <w:t xml:space="preserve"> 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פס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נח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) </w:t>
      </w:r>
      <w:r>
        <w:rPr>
          <w:lang w:val="en-IL" w:eastAsia="en-IL"/>
        </w:rPr>
        <w:t>541</w:t>
      </w:r>
      <w:r>
        <w:rPr>
          <w:rtl w:val="true"/>
          <w:lang w:val="en-IL" w:eastAsia="en-IL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ביניש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17/5/06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22">
        <w:r>
          <w:rPr>
            <w:rStyle w:val="Hyperlink"/>
            <w:rtl w:val="true"/>
            <w:lang w:val="en-IL" w:eastAsia="en-IL"/>
          </w:rPr>
          <w:t>ע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1676/08</w:t>
        </w:r>
      </w:hyperlink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2148</w:t>
      </w:r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1/6/09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רובינשטיין</w:t>
      </w:r>
      <w:r>
        <w:rPr>
          <w:rtl w:val="true"/>
          <w:lang w:val="en-IL" w:eastAsia="en-IL"/>
        </w:rPr>
        <w:t xml:space="preserve">; </w:t>
      </w:r>
      <w:hyperlink r:id="rId23">
        <w:r>
          <w:rPr>
            <w:rStyle w:val="Hyperlink"/>
            <w:rtl w:val="true"/>
            <w:lang w:val="en-IL" w:eastAsia="en-IL"/>
          </w:rPr>
          <w:t>ע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371/08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ביטאו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27/10/08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ארבל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ועוד</w:t>
      </w:r>
      <w:r>
        <w:rPr>
          <w:rtl w:val="true"/>
          <w:lang w:val="en-IL" w:eastAsia="en-IL"/>
        </w:rPr>
        <w:t xml:space="preserve">). 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sz w:val="16"/>
          <w:szCs w:val="16"/>
          <w:highlight w:val="yellow"/>
          <w:lang w:val="en-IL" w:eastAsia="en-IL"/>
        </w:rPr>
      </w:pPr>
      <w:r>
        <w:rPr>
          <w:sz w:val="16"/>
          <w:szCs w:val="16"/>
          <w:highlight w:val="yellow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  <w:lang w:val="en-IL" w:eastAsia="en-IL"/>
        </w:rPr>
        <w:t>וכוונתם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לפגוע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בגופם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ואזרחים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תמימים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לאומני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מלמדת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המסוכנות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14"/>
          <w:szCs w:val="14"/>
          <w:lang w:val="en-IL" w:eastAsia="en-IL"/>
        </w:rPr>
      </w:pPr>
      <w:r>
        <w:rPr>
          <w:sz w:val="14"/>
          <w:szCs w:val="14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; </w:t>
      </w:r>
      <w:r>
        <w:rPr>
          <w:rFonts w:ascii="FrankRuehl" w:hAnsi="FrankRuehl" w:cs="FrankRuehl"/>
          <w:color w:val="000000"/>
          <w:rtl w:val="true"/>
        </w:rPr>
        <w:t>כן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ראו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6294/11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20/2/14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;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5106/99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ימה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350</w:t>
      </w:r>
      <w:r>
        <w:rPr>
          <w:rtl w:val="true"/>
        </w:rPr>
        <w:t xml:space="preserve">, </w:t>
      </w:r>
      <w:r>
        <w:rPr/>
        <w:t>354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).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18"/>
          <w:szCs w:val="18"/>
          <w:lang w:val="en-IL" w:eastAsia="en-IL"/>
        </w:rPr>
      </w:pPr>
      <w:r>
        <w:rPr>
          <w:sz w:val="18"/>
          <w:szCs w:val="18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b/>
          <w:bCs/>
          <w:lang w:val="en-IL" w:eastAsia="en-IL"/>
        </w:rPr>
        <w:t>9</w:t>
      </w:r>
      <w:r>
        <w:rPr>
          <w:b/>
          <w:bCs/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ab/>
      </w:r>
      <w:r>
        <w:rPr>
          <w:b/>
          <w:b/>
          <w:bCs/>
          <w:u w:val="single"/>
          <w:rtl w:val="true"/>
          <w:lang w:val="en-IL" w:eastAsia="en-IL"/>
        </w:rPr>
        <w:t>הסדר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הטיעון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בענייננו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הכולל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מוסכמת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מהטעמים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שפורטו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tl w:val="true"/>
          <w:lang w:val="en-IL" w:eastAsia="en-IL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10"/>
          <w:szCs w:val="10"/>
          <w:lang w:val="en-IL" w:eastAsia="en-IL"/>
        </w:rPr>
      </w:pPr>
      <w:r>
        <w:rPr>
          <w:sz w:val="10"/>
          <w:szCs w:val="10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4"/>
          <w:szCs w:val="4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מהאוטובוס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הייחודיות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התשתית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הנורמטיבית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1958/98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פלוני נ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/>
            <w:rtl w:val="true"/>
          </w:rPr>
          <w:t>מ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 xml:space="preserve">, </w:t>
        </w:r>
        <w:r>
          <w:rPr>
            <w:rStyle w:val="Hyperlink"/>
            <w:rFonts w:ascii="David" w:hAnsi="David"/>
            <w:rtl w:val="true"/>
          </w:rPr>
          <w:t>פ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ד נז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שהונחו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בחשיבותם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שמעניק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במסגרתו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hyperlink r:id="rId27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1717/06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12/11/07</w:t>
      </w:r>
      <w:r>
        <w:rPr>
          <w:rFonts w:cs="David" w:ascii="David" w:hAnsi="David"/>
          <w:rtl w:val="true"/>
        </w:rPr>
        <w:t>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רובינשטיין</w:t>
      </w:r>
      <w:r>
        <w:rPr>
          <w:rFonts w:cs="David" w:ascii="David" w:hAnsi="David"/>
          <w:rtl w:val="true"/>
        </w:rPr>
        <w:t xml:space="preserve">; </w:t>
      </w:r>
      <w:hyperlink r:id="rId28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351/07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6/6/07</w:t>
      </w:r>
      <w:r>
        <w:rPr>
          <w:rFonts w:cs="David" w:ascii="David" w:hAnsi="David"/>
          <w:rtl w:val="true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פוגלמן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2"/>
          <w:szCs w:val="2"/>
        </w:rPr>
      </w:pPr>
      <w:r>
        <w:rPr>
          <w:rFonts w:ascii="David" w:hAnsi="David"/>
          <w:rtl w:val="true"/>
        </w:rPr>
        <w:t>ההלכה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שוכנע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השקפתו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: </w:t>
      </w:r>
      <w:r>
        <w:rPr>
          <w:rFonts w:cs="Times New Roman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1440" w:end="0"/>
        <w:jc w:val="both"/>
        <w:rPr>
          <w:lang w:eastAsia="he-IL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בגוזרו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לקיימו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hyperlink r:id="rId29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1958/98</w:t>
        </w:r>
        <w:r>
          <w:rPr>
            <w:rStyle w:val="Hyperlink"/>
            <w:rFonts w:cs="Miriam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</w:t>
        </w:r>
        <w:r>
          <w:rPr>
            <w:rStyle w:val="Hyperlink"/>
            <w:rFonts w:cs="Miriam"/>
            <w:rtl w:val="true"/>
          </w:rPr>
          <w:t xml:space="preserve">' </w:t>
        </w:r>
        <w:r>
          <w:rPr>
            <w:rStyle w:val="Hyperlink"/>
            <w:rFonts w:cs="Miriam"/>
            <w:rtl w:val="true"/>
          </w:rPr>
          <w:t>מ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י</w:t>
        </w:r>
        <w:r>
          <w:rPr>
            <w:rStyle w:val="Hyperlink"/>
            <w:rFonts w:cs="Miriam"/>
            <w:rtl w:val="true"/>
          </w:rPr>
          <w:t xml:space="preserve">, 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נז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577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שאומצה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ששוכנע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השקפתו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ההסדר</w:t>
      </w:r>
      <w:r>
        <w:rPr>
          <w:rFonts w:cs="Times New Roman"/>
          <w:rtl w:val="true"/>
        </w:rPr>
        <w:t xml:space="preserve">". </w:t>
      </w:r>
      <w:r>
        <w:rPr>
          <w:rtl w:val="true"/>
          <w:lang w:eastAsia="he-IL"/>
        </w:rPr>
        <w:t>(</w:t>
      </w:r>
      <w:hyperlink r:id="rId30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9600/04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משראקי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2/3/05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חיות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hyperlink r:id="rId31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5982/08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יותם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כהן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22/4/09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כתוארה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נאור</w:t>
      </w:r>
      <w:r>
        <w:rPr>
          <w:rtl w:val="true"/>
          <w:lang w:eastAsia="he-IL"/>
        </w:rPr>
        <w:t xml:space="preserve">; </w:t>
      </w:r>
      <w:hyperlink r:id="rId32">
        <w:r>
          <w:rPr>
            <w:rStyle w:val="Hyperlink"/>
            <w:rFonts w:ascii="Calibri" w:hAnsi="Calibri" w:cs="Calibri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lang w:eastAsia="he-IL"/>
          </w:rPr>
          <w:t>3193/07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טבאגה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2/4/09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דנציגר</w:t>
      </w:r>
      <w:r>
        <w:rPr>
          <w:rtl w:val="true"/>
          <w:lang w:eastAsia="he-IL"/>
        </w:rPr>
        <w:t>).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4"/>
          <w:szCs w:val="4"/>
          <w:lang w:val="en-IL" w:eastAsia="en-IL"/>
        </w:rPr>
      </w:pPr>
      <w:r>
        <w:rPr>
          <w:sz w:val="4"/>
          <w:szCs w:val="4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בנתונים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קיימים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ראייתיים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קונקרטי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איננו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להידרש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ולגישות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שהובעו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33">
        <w:r>
          <w:rPr>
            <w:rStyle w:val="Hyperlink"/>
            <w:rtl w:val="true"/>
            <w:lang w:val="en-IL" w:eastAsia="en-IL"/>
          </w:rPr>
          <w:t>ע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8109/15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אהרון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אביטן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9/6/16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זילברטל</w:t>
      </w:r>
      <w:r>
        <w:rPr>
          <w:rtl w:val="true"/>
          <w:lang w:val="en-IL" w:eastAsia="en-IL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cs="Times New Roman"/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ששמענו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טיעוניהם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הצדדים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ביחס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למכלול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השיקולים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שהנחו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אותם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בהגיעם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הנדון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דידן</w:t>
      </w:r>
      <w:r>
        <w:rPr>
          <w:rFonts w:cs="Calibri" w:ascii="Calibri" w:hAnsi="Calibri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האיזונים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>חומרת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הורשעו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הנאשמים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ומדיניות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הראויה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כגון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מחד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גיסא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מול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הודייתם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והסתמכותם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הטיעון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תוך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מחילה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זכותם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לטעון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לחפותם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ולדרוש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מהתביעה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תוכיח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אשמתם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מעבר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לכל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ספק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סביר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מאידך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גיסא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נסיבותיהם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האישיות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הנאשמים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כמפורט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לעיל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tl w:val="true"/>
          <w:lang w:val="en-IL" w:eastAsia="en-IL"/>
        </w:rPr>
        <w:t>שהתרשמנו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המקל</w:t>
      </w:r>
      <w:r>
        <w:rPr>
          <w:rtl w:val="true"/>
          <w:lang w:val="en-IL" w:eastAsia="en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מצאנו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מדובר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באחד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מאותם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חריגים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יהא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ראוי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לסטות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מההסכמה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אליה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הגיעו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הצדדים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לענין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שיושת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הנאשמים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חזקה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התביעה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שקלה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היטב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שיקוליה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בהגיעם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המתואר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לעיל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ואנו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רואים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לכבדו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המשקפים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שלקחנו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הייחודי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  <w:lang w:eastAsia="he-IL"/>
        </w:rPr>
      </w:pPr>
      <w:r>
        <w:rPr>
          <w:sz w:val="2"/>
          <w:szCs w:val="2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hd w:fill="FFFFFF" w:val="clear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 xml:space="preserve">.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1/5/17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מיידי</w:t>
      </w:r>
      <w:r>
        <w:rPr>
          <w:color w:val="000000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hd w:fill="FFFFFF" w:val="clear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1/5/17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b/>
          <w:bCs/>
          <w:color w:val="FFFFFF"/>
          <w:sz w:val="2"/>
          <w:szCs w:val="2"/>
        </w:rPr>
        <w:t>54678313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8"/>
        <w:gridCol w:w="239"/>
        <w:gridCol w:w="2513"/>
        <w:gridCol w:w="239"/>
        <w:gridCol w:w="2573"/>
      </w:tblGrid>
      <w:tr>
        <w:trPr/>
        <w:tc>
          <w:tcPr>
            <w:tcW w:w="295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ניתן היום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 אדר תשע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</w:rPr>
              <w:t>15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מרץ </w:t>
            </w:r>
            <w:r>
              <w:rPr>
                <w:rFonts w:cs="Arial" w:ascii="Arial" w:hAnsi="Arial"/>
                <w:b/>
                <w:bCs/>
              </w:rPr>
              <w:t>2017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1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5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1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  <w:lang w:val="en-IL" w:eastAsia="en-IL"/>
              </w:rPr>
              <w:t>א</w:t>
            </w:r>
            <w:r>
              <w:rPr>
                <w:b/>
                <w:bCs/>
                <w:rtl w:val="true"/>
                <w:lang w:val="en-IL" w:eastAsia="en-IL"/>
              </w:rPr>
              <w:t xml:space="preserve">. </w:t>
            </w:r>
            <w:r>
              <w:rPr>
                <w:b/>
                <w:b/>
                <w:bCs/>
                <w:rtl w:val="true"/>
                <w:lang w:val="en-IL" w:eastAsia="en-IL"/>
              </w:rPr>
              <w:t>לוי</w:t>
            </w:r>
            <w:r>
              <w:rPr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rtl w:val="true"/>
                <w:lang w:val="en-IL" w:eastAsia="en-IL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7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קוטון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26101-05-16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סובח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ascii="Times New (W1);Times New Roman" w:hAnsi="Times New (W1);Times New Roman" w:cs="Times New (W1);Times New Roman"/>
      <w:color w:val="000000"/>
    </w:rPr>
  </w:style>
  <w:style w:type="character" w:styleId="WW8Num13z0">
    <w:name w:val="WW8Num13z0"/>
    <w:qFormat/>
    <w:rPr>
      <w:rFonts w:cs="Times New Roman"/>
      <w:b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  <w:b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  <w:b/>
      <w:bCs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cs="Times New Roman"/>
      <w:b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  <w:b/>
    </w:rPr>
  </w:style>
  <w:style w:type="character" w:styleId="WW8Num18z1">
    <w:name w:val="WW8Num1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CharChar25">
    <w:name w:val=" Char Char25"/>
    <w:qFormat/>
    <w:rPr>
      <w:rFonts w:ascii="Tahoma" w:hAnsi="Tahoma" w:cs="Tahoma"/>
      <w:sz w:val="16"/>
      <w:szCs w:val="16"/>
      <w:lang w:val="en-US" w:bidi="he-IL"/>
    </w:rPr>
  </w:style>
  <w:style w:type="character" w:styleId="Ruller4">
    <w:name w:val="Ruller4 תו"/>
    <w:qFormat/>
    <w:rPr>
      <w:rFonts w:ascii="Arial TUR;Arial" w:hAnsi="Arial TUR;Arial" w:cs="Arial TUR;Arial"/>
      <w:spacing w:val="10"/>
      <w:lang w:bidi="he-IL"/>
    </w:rPr>
  </w:style>
  <w:style w:type="character" w:styleId="CharChar28">
    <w:name w:val=" Char Char28"/>
    <w:qFormat/>
    <w:rPr>
      <w:rFonts w:cs="David"/>
      <w:sz w:val="24"/>
      <w:szCs w:val="24"/>
      <w:lang w:val="en-US" w:bidi="he-IL"/>
    </w:rPr>
  </w:style>
  <w:style w:type="character" w:styleId="CharChar27">
    <w:name w:val=" Char Char27"/>
    <w:qFormat/>
    <w:rPr>
      <w:rFonts w:cs="David"/>
      <w:sz w:val="24"/>
      <w:szCs w:val="24"/>
      <w:lang w:val="en-US" w:bidi="he-IL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Consolas"/>
      <w:lang w:val="en-US" w:bidi="he-IL"/>
    </w:rPr>
  </w:style>
  <w:style w:type="character" w:styleId="CharChar23">
    <w:name w:val=" Char Char23"/>
    <w:qFormat/>
    <w:rPr>
      <w:rFonts w:cs="David"/>
      <w:sz w:val="24"/>
      <w:szCs w:val="24"/>
      <w:lang w:val="en-US" w:bidi="he-IL"/>
    </w:rPr>
  </w:style>
  <w:style w:type="character" w:styleId="CharChar22">
    <w:name w:val=" Char Char22"/>
    <w:qFormat/>
    <w:rPr>
      <w:rFonts w:cs="David"/>
      <w:sz w:val="24"/>
      <w:szCs w:val="24"/>
      <w:lang w:val="en-US" w:bidi="he-IL"/>
    </w:rPr>
  </w:style>
  <w:style w:type="character" w:styleId="CharChar21">
    <w:name w:val=" Char Char21"/>
    <w:qFormat/>
    <w:rPr>
      <w:rFonts w:cs="David"/>
      <w:sz w:val="24"/>
      <w:szCs w:val="24"/>
      <w:lang w:val="en-US" w:bidi="he-IL"/>
    </w:rPr>
  </w:style>
  <w:style w:type="character" w:styleId="CharChar20">
    <w:name w:val=" Char Char20"/>
    <w:qFormat/>
    <w:rPr>
      <w:rFonts w:cs="David"/>
      <w:sz w:val="16"/>
      <w:szCs w:val="16"/>
      <w:lang w:val="en-US" w:bidi="he-IL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  <w:lang w:val="en-US" w:bidi="he-IL"/>
    </w:rPr>
  </w:style>
  <w:style w:type="character" w:styleId="CharChar18">
    <w:name w:val=" Char Char18"/>
    <w:qFormat/>
    <w:rPr>
      <w:rFonts w:cs="David"/>
      <w:sz w:val="24"/>
      <w:szCs w:val="24"/>
      <w:lang w:val="en-US" w:bidi="he-IL"/>
    </w:rPr>
  </w:style>
  <w:style w:type="character" w:styleId="CharChar17">
    <w:name w:val=" Char Char17"/>
    <w:qFormat/>
    <w:rPr>
      <w:rFonts w:cs="David"/>
      <w:lang w:val="en-US" w:bidi="he-IL"/>
    </w:rPr>
  </w:style>
  <w:style w:type="character" w:styleId="CharChar16">
    <w:name w:val=" Char Char16"/>
    <w:qFormat/>
    <w:rPr>
      <w:rFonts w:cs="David"/>
      <w:lang w:val="en-US" w:bidi="he-IL"/>
    </w:rPr>
  </w:style>
  <w:style w:type="character" w:styleId="CharChar15">
    <w:name w:val=" Char Char15"/>
    <w:qFormat/>
    <w:rPr>
      <w:rFonts w:ascii="Consolas" w:hAnsi="Consolas" w:cs="Consolas"/>
      <w:lang w:val="en-US" w:bidi="he-IL"/>
    </w:rPr>
  </w:style>
  <w:style w:type="character" w:styleId="PlaceholderText">
    <w:name w:val="Placeholder Text"/>
    <w:qFormat/>
    <w:rPr>
      <w:color w:val="808080"/>
    </w:rPr>
  </w:style>
  <w:style w:type="character" w:styleId="CharChar14">
    <w:name w:val=" Char Char14"/>
    <w:qFormat/>
    <w:rPr>
      <w:rFonts w:ascii="Consolas" w:hAnsi="Consolas" w:cs="Consolas"/>
      <w:sz w:val="21"/>
      <w:szCs w:val="21"/>
      <w:lang w:val="en-US" w:bidi="he-IL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5">
    <w:name w:val=" Char Char35"/>
    <w:qFormat/>
    <w:rPr>
      <w:rFonts w:ascii="Cambria" w:hAnsi="Cambria" w:cs="Cambria"/>
      <w:color w:val="365F91"/>
      <w:sz w:val="26"/>
      <w:szCs w:val="26"/>
      <w:lang w:val="en-US" w:bidi="he-IL"/>
    </w:rPr>
  </w:style>
  <w:style w:type="character" w:styleId="CharChar34">
    <w:name w:val=" Char Char34"/>
    <w:qFormat/>
    <w:rPr>
      <w:rFonts w:ascii="Cambria" w:hAnsi="Cambria" w:cs="Cambria"/>
      <w:color w:val="243F60"/>
      <w:sz w:val="24"/>
      <w:szCs w:val="24"/>
      <w:lang w:val="en-US" w:bidi="he-IL"/>
    </w:rPr>
  </w:style>
  <w:style w:type="character" w:styleId="CharChar33">
    <w:name w:val=" Char Char33"/>
    <w:qFormat/>
    <w:rPr>
      <w:rFonts w:ascii="Cambria" w:hAnsi="Cambria" w:cs="Cambria"/>
      <w:color w:val="365F91"/>
      <w:sz w:val="24"/>
      <w:szCs w:val="24"/>
      <w:lang w:val="en-US" w:bidi="he-IL"/>
    </w:rPr>
  </w:style>
  <w:style w:type="character" w:styleId="CharChar32">
    <w:name w:val=" Char Char32"/>
    <w:qFormat/>
    <w:rPr>
      <w:rFonts w:ascii="Cambria" w:hAnsi="Cambria" w:cs="Cambria"/>
      <w:color w:val="243F60"/>
      <w:sz w:val="24"/>
      <w:szCs w:val="24"/>
      <w:lang w:val="en-US" w:bidi="he-IL"/>
    </w:rPr>
  </w:style>
  <w:style w:type="character" w:styleId="CharChar31">
    <w:name w:val=" Char Char31"/>
    <w:qFormat/>
    <w:rPr>
      <w:rFonts w:ascii="Cambria" w:hAnsi="Cambria" w:cs="Cambria"/>
      <w:i/>
      <w:iCs/>
      <w:color w:val="243F60"/>
      <w:sz w:val="24"/>
      <w:szCs w:val="24"/>
      <w:lang w:val="en-US" w:bidi="he-IL"/>
    </w:rPr>
  </w:style>
  <w:style w:type="character" w:styleId="CharChar30">
    <w:name w:val=" Char Char30"/>
    <w:qFormat/>
    <w:rPr>
      <w:rFonts w:ascii="Cambria" w:hAnsi="Cambria" w:cs="Cambria"/>
      <w:color w:val="272727"/>
      <w:sz w:val="21"/>
      <w:szCs w:val="21"/>
      <w:lang w:val="en-US" w:bidi="he-IL"/>
    </w:rPr>
  </w:style>
  <w:style w:type="character" w:styleId="CharChar29">
    <w:name w:val=" Char Char29"/>
    <w:qFormat/>
    <w:rPr>
      <w:rFonts w:ascii="Cambria" w:hAnsi="Cambria" w:cs="Cambria"/>
      <w:i/>
      <w:iCs/>
      <w:color w:val="272727"/>
      <w:sz w:val="21"/>
      <w:szCs w:val="21"/>
      <w:lang w:val="en-US" w:bidi="he-IL"/>
    </w:rPr>
  </w:style>
  <w:style w:type="character" w:styleId="CharChar13">
    <w:name w:val=" Char Char13"/>
    <w:qFormat/>
    <w:rPr>
      <w:rFonts w:cs="David"/>
      <w:sz w:val="24"/>
      <w:szCs w:val="24"/>
      <w:lang w:val="en-US" w:bidi="he-IL"/>
    </w:rPr>
  </w:style>
  <w:style w:type="character" w:styleId="CharChar12">
    <w:name w:val=" Char Char12"/>
    <w:qFormat/>
    <w:rPr>
      <w:rFonts w:ascii="Cambria" w:hAnsi="Cambria" w:cs="Cambria"/>
      <w:spacing w:val="-10"/>
      <w:kern w:val="2"/>
      <w:sz w:val="56"/>
      <w:szCs w:val="56"/>
      <w:lang w:val="en-US" w:bidi="he-IL"/>
    </w:rPr>
  </w:style>
  <w:style w:type="character" w:styleId="CharChar11">
    <w:name w:val=" Char Char11"/>
    <w:qFormat/>
    <w:rPr>
      <w:rFonts w:ascii="Calibri" w:hAnsi="Calibri" w:cs="Arial"/>
      <w:color w:val="5A5A5A"/>
      <w:spacing w:val="15"/>
      <w:sz w:val="22"/>
      <w:szCs w:val="22"/>
      <w:lang w:val="en-US" w:bidi="he-IL"/>
    </w:rPr>
  </w:style>
  <w:style w:type="character" w:styleId="CharChar10">
    <w:name w:val=" Char Char10"/>
    <w:qFormat/>
    <w:rPr>
      <w:rFonts w:ascii="Cambria" w:hAnsi="Cambria" w:cs="Cambria"/>
      <w:sz w:val="24"/>
      <w:szCs w:val="24"/>
      <w:lang w:val="en-US" w:bidi="he-IL"/>
    </w:rPr>
  </w:style>
  <w:style w:type="character" w:styleId="CharChar9">
    <w:name w:val=" Char Char9"/>
    <w:qFormat/>
    <w:rPr>
      <w:rFonts w:cs="David"/>
      <w:sz w:val="24"/>
      <w:szCs w:val="24"/>
      <w:lang w:val="en-US" w:bidi="he-IL"/>
    </w:rPr>
  </w:style>
  <w:style w:type="character" w:styleId="CharChar8">
    <w:name w:val=" Char Char8"/>
    <w:qFormat/>
    <w:rPr>
      <w:rFonts w:cs="David"/>
      <w:sz w:val="24"/>
      <w:szCs w:val="24"/>
      <w:lang w:val="en-US" w:bidi="he-IL"/>
    </w:rPr>
  </w:style>
  <w:style w:type="character" w:styleId="CharChar7">
    <w:name w:val=" Char Char7"/>
    <w:qFormat/>
    <w:rPr>
      <w:rFonts w:cs="David"/>
      <w:sz w:val="16"/>
      <w:szCs w:val="16"/>
      <w:lang w:val="en-US" w:bidi="he-IL"/>
    </w:rPr>
  </w:style>
  <w:style w:type="character" w:styleId="CharChar6">
    <w:name w:val=" Char Char6"/>
    <w:qFormat/>
    <w:rPr>
      <w:rFonts w:cs="David"/>
      <w:sz w:val="24"/>
      <w:szCs w:val="24"/>
      <w:lang w:val="en-US" w:bidi="he-IL"/>
    </w:rPr>
  </w:style>
  <w:style w:type="character" w:styleId="CharChar5">
    <w:name w:val=" Char Char5"/>
    <w:qFormat/>
    <w:rPr>
      <w:rFonts w:cs="David"/>
      <w:sz w:val="24"/>
      <w:szCs w:val="24"/>
      <w:lang w:val="en-US" w:bidi="he-IL"/>
    </w:rPr>
  </w:style>
  <w:style w:type="character" w:styleId="CharChar4">
    <w:name w:val=" Char Char4"/>
    <w:qFormat/>
    <w:rPr>
      <w:rFonts w:cs="David"/>
      <w:i/>
      <w:iCs/>
      <w:sz w:val="24"/>
      <w:szCs w:val="24"/>
      <w:lang w:val="en-US" w:bidi="he-IL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LineNumber">
    <w:name w:val="line number"/>
    <w:basedOn w:val="DefaultParagraphFont"/>
    <w:rPr/>
  </w:style>
  <w:style w:type="character" w:styleId="CharChar3">
    <w:name w:val=" Char Char3"/>
    <w:qFormat/>
    <w:rPr>
      <w:rFonts w:ascii="Tahoma" w:hAnsi="Tahoma" w:cs="Tahoma"/>
      <w:sz w:val="16"/>
      <w:szCs w:val="16"/>
      <w:lang w:val="en-US" w:bidi="he-IL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6">
    <w:name w:val=" Char Char26"/>
    <w:qFormat/>
    <w:rPr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b/>
      <w:bCs/>
      <w:lang w:val="en-US" w:bidi="he-IL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  <w:lang w:val="en-US" w:bidi="he-IL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  <w:lang w:val="en-US" w:bidi="he-IL"/>
    </w:rPr>
  </w:style>
  <w:style w:type="character" w:styleId="HTMLAcronym">
    <w:name w:val="HTML Acronym"/>
    <w:basedOn w:val="DefaultParagraphFont"/>
    <w:qFormat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38">
    <w:name w:val="סגנון Ruller 3 + (מורכב) ‏8 נק"/>
    <w:basedOn w:val="Normal"/>
    <w:qFormat/>
    <w:pPr>
      <w:overflowPunct w:val="false"/>
      <w:autoSpaceDE w:val="false"/>
    </w:pPr>
    <w:rPr>
      <w:sz w:val="22"/>
      <w:szCs w:val="16"/>
    </w:rPr>
  </w:style>
  <w:style w:type="paragraph" w:styleId="msolistparagraph">
    <w:name w:val="msolistparagraph"/>
    <w:basedOn w:val="Normal"/>
    <w:qFormat/>
    <w:pPr>
      <w:overflowPunct w:val="false"/>
      <w:autoSpaceDE w:val="false"/>
      <w:ind w:hanging="0" w:start="720" w:end="0"/>
    </w:pPr>
    <w:rPr>
      <w:rFonts w:cs="Times New Roman"/>
      <w:sz w:val="20"/>
      <w:szCs w:val="20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0"/>
      <w:szCs w:val="20"/>
      <w:lang w:val="en-US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evision">
    <w:name w:val="Revision"/>
    <w:qFormat/>
    <w:pPr>
      <w:widowControl/>
      <w:bidi w:val="0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cs="Times New Roman"/>
      <w:b/>
      <w:bCs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mbria" w:hAnsi="Cambria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cs="Times New Roman"/>
    </w:rPr>
  </w:style>
  <w:style w:type="paragraph" w:styleId="EnvelopeReturn">
    <w:name w:val="envelope return"/>
    <w:basedOn w:val="Normal"/>
    <w:pPr/>
    <w:rPr>
      <w:rFonts w:ascii="Cambria" w:hAnsi="Cambria" w:cs="Times New Roman"/>
      <w:sz w:val="20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2.;3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20815681" TargetMode="External"/><Relationship Id="rId15" Type="http://schemas.openxmlformats.org/officeDocument/2006/relationships/hyperlink" Target="http://www.nevo.co.il/case/5982047" TargetMode="External"/><Relationship Id="rId16" Type="http://schemas.openxmlformats.org/officeDocument/2006/relationships/hyperlink" Target="http://www.nevo.co.il/case/6243627" TargetMode="External"/><Relationship Id="rId17" Type="http://schemas.openxmlformats.org/officeDocument/2006/relationships/hyperlink" Target="http://www.nevo.co.il/case/5571727" TargetMode="External"/><Relationship Id="rId18" Type="http://schemas.openxmlformats.org/officeDocument/2006/relationships/hyperlink" Target="http://www.nevo.co.il/case/21472737" TargetMode="External"/><Relationship Id="rId19" Type="http://schemas.openxmlformats.org/officeDocument/2006/relationships/hyperlink" Target="http://www.nevo.co.il/case/%206200014" TargetMode="External"/><Relationship Id="rId20" Type="http://schemas.openxmlformats.org/officeDocument/2006/relationships/hyperlink" Target="http://www.nevo.co.il/case/%205762686" TargetMode="External"/><Relationship Id="rId21" Type="http://schemas.openxmlformats.org/officeDocument/2006/relationships/hyperlink" Target="http://www.nevo.co.il/case/6169310" TargetMode="External"/><Relationship Id="rId22" Type="http://schemas.openxmlformats.org/officeDocument/2006/relationships/hyperlink" Target="http://www.nevo.co.il/case/5736455" TargetMode="External"/><Relationship Id="rId23" Type="http://schemas.openxmlformats.org/officeDocument/2006/relationships/hyperlink" Target="http://www.nevo.co.il/case/5696442" TargetMode="External"/><Relationship Id="rId24" Type="http://schemas.openxmlformats.org/officeDocument/2006/relationships/hyperlink" Target="http://www.nevo.co.il/case/5594098" TargetMode="External"/><Relationship Id="rId25" Type="http://schemas.openxmlformats.org/officeDocument/2006/relationships/hyperlink" Target="http://www.nevo.co.il/case/5993616" TargetMode="External"/><Relationship Id="rId26" Type="http://schemas.openxmlformats.org/officeDocument/2006/relationships/hyperlink" Target="http://www.nevo.co.il/case/161892" TargetMode="External"/><Relationship Id="rId27" Type="http://schemas.openxmlformats.org/officeDocument/2006/relationships/hyperlink" Target="http://www.nevo.co.il/case/5787004" TargetMode="External"/><Relationship Id="rId28" Type="http://schemas.openxmlformats.org/officeDocument/2006/relationships/hyperlink" Target="http://www.nevo.co.il/case/6189976" TargetMode="External"/><Relationship Id="rId29" Type="http://schemas.openxmlformats.org/officeDocument/2006/relationships/hyperlink" Target="http://www.nevo.co.il/case/161892" TargetMode="External"/><Relationship Id="rId30" Type="http://schemas.openxmlformats.org/officeDocument/2006/relationships/hyperlink" Target="http://www.nevo.co.il/case/6156379" TargetMode="External"/><Relationship Id="rId31" Type="http://schemas.openxmlformats.org/officeDocument/2006/relationships/hyperlink" Target="http://www.nevo.co.il/case/6043271" TargetMode="External"/><Relationship Id="rId32" Type="http://schemas.openxmlformats.org/officeDocument/2006/relationships/hyperlink" Target="http://www.nevo.co.il/case/5696782" TargetMode="External"/><Relationship Id="rId33" Type="http://schemas.openxmlformats.org/officeDocument/2006/relationships/hyperlink" Target="http://www.nevo.co.il/case/20683368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2018-02-27T17:20:00Z</dcterms:created>
  <dc:creator> </dc:creator>
  <dc:description/>
  <cp:keywords/>
  <dc:language>en-IL</dc:language>
  <cp:lastModifiedBy>run</cp:lastModifiedBy>
  <dcterms:modified xsi:type="dcterms:W3CDTF">2018-02-27T17:20:00Z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 סובח;אבראהים שאמי</vt:lpwstr>
  </property>
  <property fmtid="{D5CDD505-2E9C-101B-9397-08002B2CF9AE}" pid="4" name="CASESLISTTMP1">
    <vt:lpwstr>20815681;5982047;6243627;5571727;21472737;6200014;5762686;6169310;5736455;5696442;5594098;5993616;161892:2;5787004;6189976;6156379;6043271;5696782;20683368</vt:lpwstr>
  </property>
  <property fmtid="{D5CDD505-2E9C-101B-9397-08002B2CF9AE}" pid="5" name="CITY">
    <vt:lpwstr>חי'</vt:lpwstr>
  </property>
  <property fmtid="{D5CDD505-2E9C-101B-9397-08002B2CF9AE}" pid="6" name="DATE">
    <vt:lpwstr>20170315</vt:lpwstr>
  </property>
  <property fmtid="{D5CDD505-2E9C-101B-9397-08002B2CF9AE}" pid="7" name="ISABSTRACT">
    <vt:lpwstr>Y</vt:lpwstr>
  </property>
  <property fmtid="{D5CDD505-2E9C-101B-9397-08002B2CF9AE}" pid="8" name="JUDGE">
    <vt:lpwstr>הרכב ים;דיאנה סלע [];אבי לוי;ערן קוטון</vt:lpwstr>
  </property>
  <property fmtid="{D5CDD505-2E9C-101B-9397-08002B2CF9AE}" pid="9" name="LAWLISTTMP1">
    <vt:lpwstr>70301/499.a.1:2;329.a.2:2;031;144.a</vt:lpwstr>
  </property>
  <property fmtid="{D5CDD505-2E9C-101B-9397-08002B2CF9AE}" pid="10" name="NEWPARTA">
    <vt:lpwstr>26101</vt:lpwstr>
  </property>
  <property fmtid="{D5CDD505-2E9C-101B-9397-08002B2CF9AE}" pid="11" name="NEWPARTB">
    <vt:lpwstr>05</vt:lpwstr>
  </property>
  <property fmtid="{D5CDD505-2E9C-101B-9397-08002B2CF9AE}" pid="12" name="NEWPARTC">
    <vt:lpwstr>16</vt:lpwstr>
  </property>
  <property fmtid="{D5CDD505-2E9C-101B-9397-08002B2CF9AE}" pid="13" name="NEWPROC">
    <vt:lpwstr>תפח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390020170315</vt:lpwstr>
  </property>
  <property fmtid="{D5CDD505-2E9C-101B-9397-08002B2CF9AE}" pid="17" name="TYPE_N_DATE">
    <vt:lpwstr>39020170315</vt:lpwstr>
  </property>
  <property fmtid="{D5CDD505-2E9C-101B-9397-08002B2CF9AE}" pid="18" name="WORDNUMPAGES">
    <vt:lpwstr>11</vt:lpwstr>
  </property>
</Properties>
</file>