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2643-11-10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שמלצר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צבי סגל סגן נשיא – 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משה דרורי ומשה יועד הכהן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חיים שמלצר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b/>
                <w:bCs/>
                <w:sz w:val="26"/>
                <w:szCs w:val="26"/>
              </w:rPr>
              <w:t>011999463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יובל קפלינסקי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מפרקליטות מחוז ירושלים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רועי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פוליטי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  <w:bookmarkStart w:id="3" w:name="StartProtocol"/>
      <w:bookmarkStart w:id="4" w:name="StartProtocol"/>
      <w:bookmarkEnd w:id="4"/>
    </w:p>
    <w:p>
      <w:pPr>
        <w:pStyle w:val="Normal"/>
        <w:spacing w:lineRule="auto" w:line="360"/>
        <w:ind w:end="0"/>
        <w:jc w:val="both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  <w:bookmarkStart w:id="5" w:name="StartProtocol"/>
      <w:bookmarkStart w:id="6" w:name="StartProtocol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2</w:t>
      </w:r>
      <w:bookmarkEnd w:id="8"/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cs="Arial" w:ascii="Arial" w:hAnsi="Arial"/>
          <w:b/>
          <w:bCs/>
          <w:sz w:val="20"/>
          <w:szCs w:val="2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בגדר הסדר טיעון</w:t>
      </w:r>
      <w:r>
        <w:rPr>
          <w:rtl w:val="true"/>
        </w:rPr>
        <w:t xml:space="preserve">, </w:t>
      </w:r>
      <w:r>
        <w:rPr>
          <w:rtl w:val="true"/>
        </w:rPr>
        <w:t>הן לעניין ההכרעה והן לעניין העונש</w:t>
      </w:r>
      <w:r>
        <w:rPr>
          <w:rtl w:val="true"/>
        </w:rPr>
        <w:t xml:space="preserve">, </w:t>
      </w:r>
      <w:r>
        <w:rPr>
          <w:rtl w:val="true"/>
        </w:rPr>
        <w:t>הודה הנאשם והורשע על</w:t>
      </w:r>
      <w:r>
        <w:rPr>
          <w:rtl w:val="true"/>
        </w:rPr>
        <w:t>-</w:t>
      </w:r>
      <w:r>
        <w:rPr>
          <w:rtl w:val="true"/>
        </w:rPr>
        <w:t xml:space="preserve">פי הודאתו בעבירות של סיוע להריגה ועבירה בנשק </w:t>
      </w:r>
      <w:r>
        <w:rPr>
          <w:rtl w:val="true"/>
        </w:rPr>
        <w:t>–</w:t>
      </w:r>
      <w:r>
        <w:rPr>
          <w:rtl w:val="true"/>
        </w:rPr>
        <w:t xml:space="preserve"> לפי סעיפים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 xml:space="preserve">וכן  </w:t>
      </w:r>
      <w:r>
        <w:rPr>
          <w:rtl w:val="true"/>
        </w:rPr>
        <w:t>–</w:t>
      </w:r>
      <w:r>
        <w:rPr>
          <w:rtl w:val="true"/>
        </w:rPr>
        <w:t xml:space="preserve">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בגדר ההסדר האמור עתרו הצדדים בצוותא</w:t>
      </w:r>
      <w:r>
        <w:rPr>
          <w:rtl w:val="true"/>
        </w:rPr>
        <w:t>-</w:t>
      </w:r>
      <w:r>
        <w:rPr>
          <w:rtl w:val="true"/>
        </w:rPr>
        <w:t>חדא להשתת עונש מאסר בפועל של שנתיים וחצי וכן למאסר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0" w:name="ABSTRACT_END"/>
      <w:bookmarkEnd w:id="10"/>
      <w:r>
        <w:rPr>
          <w:rtl w:val="true"/>
        </w:rPr>
        <w:t>בשל גילו הצעיר קיבלנו תסקיר שירות מבחן</w:t>
      </w:r>
      <w:r>
        <w:rPr>
          <w:rtl w:val="true"/>
        </w:rPr>
        <w:t xml:space="preserve">, </w:t>
      </w:r>
      <w:r>
        <w:rPr>
          <w:rtl w:val="true"/>
        </w:rPr>
        <w:t>ממנו עולה כי מדובר בבחור צעיר אשר סבל בילדותו מבעיות קשב וריכוז</w:t>
      </w:r>
      <w:r>
        <w:rPr>
          <w:rtl w:val="true"/>
        </w:rPr>
        <w:t xml:space="preserve">, </w:t>
      </w:r>
      <w:r>
        <w:rPr>
          <w:rtl w:val="true"/>
        </w:rPr>
        <w:t>חיפש את דרכו בניהול אורח חיים דתי</w:t>
      </w:r>
      <w:r>
        <w:rPr>
          <w:rtl w:val="true"/>
        </w:rPr>
        <w:t>/</w:t>
      </w:r>
      <w:r>
        <w:rPr>
          <w:rtl w:val="true"/>
        </w:rPr>
        <w:t>חרדי</w:t>
      </w:r>
      <w:r>
        <w:rPr>
          <w:rtl w:val="true"/>
        </w:rPr>
        <w:t xml:space="preserve">, </w:t>
      </w:r>
      <w:r>
        <w:rPr>
          <w:rtl w:val="true"/>
        </w:rPr>
        <w:t>או דתי</w:t>
      </w:r>
      <w:r>
        <w:rPr>
          <w:rtl w:val="true"/>
        </w:rPr>
        <w:t>/</w:t>
      </w:r>
      <w:r>
        <w:rPr>
          <w:rtl w:val="true"/>
        </w:rPr>
        <w:t>מסורתי</w:t>
      </w:r>
      <w:r>
        <w:rPr>
          <w:rtl w:val="true"/>
        </w:rPr>
        <w:t xml:space="preserve">. </w:t>
      </w:r>
      <w:r>
        <w:rPr>
          <w:rtl w:val="true"/>
        </w:rPr>
        <w:t>הוא נחשף בעבר לחברה שולית ולשימוש בסמים</w:t>
      </w:r>
      <w:r>
        <w:rPr>
          <w:rtl w:val="true"/>
        </w:rPr>
        <w:t xml:space="preserve">, </w:t>
      </w:r>
      <w:r>
        <w:rPr>
          <w:rtl w:val="true"/>
        </w:rPr>
        <w:t>התקשה לקלוט את חומרת ההידרדרות בהתנהגותו וההשלכות על עצמו ועל סביבתו</w:t>
      </w:r>
      <w:r>
        <w:rPr>
          <w:rtl w:val="true"/>
        </w:rPr>
        <w:t xml:space="preserve">, </w:t>
      </w:r>
      <w:r>
        <w:rPr>
          <w:rtl w:val="true"/>
        </w:rPr>
        <w:t>והתקשה לגייס כוחות לשינוי</w:t>
      </w:r>
      <w:r>
        <w:rPr>
          <w:rtl w:val="true"/>
        </w:rPr>
        <w:t xml:space="preserve">. </w:t>
      </w:r>
      <w:r>
        <w:rPr>
          <w:rtl w:val="true"/>
        </w:rPr>
        <w:t>בעבר הופנה כבר לשירות המבחן לנוער</w:t>
      </w:r>
      <w:r>
        <w:rPr>
          <w:rtl w:val="true"/>
        </w:rPr>
        <w:t xml:space="preserve">, </w:t>
      </w:r>
      <w:r>
        <w:rPr>
          <w:rtl w:val="true"/>
        </w:rPr>
        <w:t>בגין עבירות שעבר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הבהיר לבית המשפט מה עמד בבסיס הסדר הטיעון</w:t>
      </w:r>
      <w:r>
        <w:rPr>
          <w:rtl w:val="true"/>
        </w:rPr>
        <w:t xml:space="preserve">, </w:t>
      </w:r>
      <w:r>
        <w:rPr>
          <w:rtl w:val="true"/>
        </w:rPr>
        <w:t>ותלה זאת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בקושי הראייתי בתיק להוכחת עבירת ההריגה שיוחסה לנאשם מלכתחילה</w:t>
      </w:r>
      <w:r>
        <w:rPr>
          <w:rtl w:val="true"/>
        </w:rPr>
        <w:t xml:space="preserve">, </w:t>
      </w:r>
      <w:r>
        <w:rPr>
          <w:rtl w:val="true"/>
        </w:rPr>
        <w:t>אך הומרה בסופו של דבר לעבירה של סיוע להריגה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עתר ב</w:t>
      </w:r>
      <w:r>
        <w:rPr>
          <w:rtl w:val="true"/>
        </w:rPr>
        <w:t>"</w:t>
      </w:r>
      <w:r>
        <w:rPr>
          <w:rtl w:val="true"/>
        </w:rPr>
        <w:t>כ המאשימה לאישור הסדר 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עתר אף הוא להשתת העונש האמור</w:t>
      </w:r>
      <w:r>
        <w:rPr>
          <w:rtl w:val="true"/>
        </w:rPr>
        <w:t xml:space="preserve">, </w:t>
      </w:r>
      <w:r>
        <w:rPr>
          <w:rtl w:val="true"/>
        </w:rPr>
        <w:t>והדגיש כי הגיע להסדר אך ורק לאחר שהצביע על אותם קשיים ראייתיים 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אמו של המנוח</w:t>
      </w:r>
      <w:r>
        <w:rPr>
          <w:rtl w:val="true"/>
        </w:rPr>
        <w:t xml:space="preserve">, </w:t>
      </w:r>
      <w:r>
        <w:rPr>
          <w:rtl w:val="true"/>
        </w:rPr>
        <w:t>בדבריה לפנינו</w:t>
      </w:r>
      <w:r>
        <w:rPr>
          <w:rtl w:val="true"/>
        </w:rPr>
        <w:t xml:space="preserve">, </w:t>
      </w:r>
      <w:r>
        <w:rPr>
          <w:rtl w:val="true"/>
        </w:rPr>
        <w:t>בחרה להצביע על ראייה נוספת הידועה לה אודות עד ראיה שראה את הנאשם דוקר את המנוח בגבו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 לדברים אלה</w:t>
      </w:r>
      <w:r>
        <w:rPr>
          <w:rtl w:val="true"/>
        </w:rPr>
        <w:t xml:space="preserve">, </w:t>
      </w:r>
      <w:r>
        <w:rPr>
          <w:rtl w:val="true"/>
        </w:rPr>
        <w:t>והבהיר לנו כי הנושא נחקר בעבר ולא התגלתה תשתית ראייתית</w:t>
      </w:r>
      <w:r>
        <w:rPr>
          <w:rtl w:val="true"/>
        </w:rPr>
        <w:t xml:space="preserve">, </w:t>
      </w:r>
      <w:r>
        <w:rPr>
          <w:rtl w:val="true"/>
        </w:rPr>
        <w:t>אשר ניתן היה על</w:t>
      </w:r>
      <w:r>
        <w:rPr>
          <w:rtl w:val="true"/>
        </w:rPr>
        <w:t>-</w:t>
      </w:r>
      <w:r>
        <w:rPr>
          <w:rtl w:val="true"/>
        </w:rPr>
        <w:t>פיה להגיש כתב אישום חמור 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עצמו פנה אל בית המשפט במילותיו האחרונות וביקש את סליחת אם המנוח ואת רחמי בית המשפט</w:t>
      </w:r>
      <w:r>
        <w:rPr>
          <w:rtl w:val="true"/>
        </w:rPr>
        <w:t xml:space="preserve">, </w:t>
      </w:r>
      <w:r>
        <w:rPr>
          <w:rtl w:val="true"/>
        </w:rPr>
        <w:t>תוך שהוא מבקש לאשר את הסדר 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ששמענו את הסברי ב</w:t>
      </w:r>
      <w:r>
        <w:rPr>
          <w:rtl w:val="true"/>
        </w:rPr>
        <w:t>"</w:t>
      </w:r>
      <w:r>
        <w:rPr>
          <w:rtl w:val="true"/>
        </w:rPr>
        <w:t>כ הצדדים אודות הקשיים הראייתיים בתיק</w:t>
      </w:r>
      <w:r>
        <w:rPr>
          <w:rtl w:val="true"/>
        </w:rPr>
        <w:t xml:space="preserve">, </w:t>
      </w:r>
      <w:r>
        <w:rPr>
          <w:rtl w:val="true"/>
        </w:rPr>
        <w:t>נחה דעתנו כי בשל סיבה זו בלבד יש לאשר את הסדר הטיעון האמור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אנו גוזרים על הנאשם את העונשים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 בפועל לתקופה של שנתיים וחצי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מעצרו בתיק זה </w:t>
      </w:r>
      <w:r>
        <w:rPr/>
        <w:t>16.11.10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שלא יעבור תוך שלוש שנים מיום שחרורו ממאסרו עבירת אלימות ונשק כלשהי מסוג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הודעה לנאשם זכותו לערער לבית המשפט העליון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751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4"/>
        <w:gridCol w:w="239"/>
        <w:gridCol w:w="2281"/>
        <w:gridCol w:w="239"/>
        <w:gridCol w:w="2461"/>
      </w:tblGrid>
      <w:tr>
        <w:trPr/>
        <w:tc>
          <w:tcPr>
            <w:tcW w:w="22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ניתן והודע היום 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ניסן 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11/04/2011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במעמד הנוכחים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 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 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29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צבי סגל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 xml:space="preserve">נ 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281" w:type="dxa"/>
            <w:tcBorders>
              <w:top w:val="single" w:sz="4" w:space="0" w:color="000000"/>
            </w:tcBorders>
          </w:tcPr>
          <w:p>
            <w:pPr>
              <w:pStyle w:val="Heading3"/>
              <w:spacing w:before="240" w:after="6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משה דרורי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משה הכהן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סגל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Cs w:val="2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סינואני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תפח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2643-11-10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חיים שמלצר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2011-04-12T12:09:00Z</dcterms:created>
  <dc:creator> </dc:creator>
  <dc:description/>
  <cp:keywords/>
  <dc:language>en-IL</dc:language>
  <cp:lastModifiedBy>orit</cp:lastModifiedBy>
  <dcterms:modified xsi:type="dcterms:W3CDTF">2011-04-12T12:09:00Z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חיים שמלצר</vt:lpwstr>
  </property>
  <property fmtid="{D5CDD505-2E9C-101B-9397-08002B2CF9AE}" pid="4" name="CITY">
    <vt:lpwstr>י-ם</vt:lpwstr>
  </property>
  <property fmtid="{D5CDD505-2E9C-101B-9397-08002B2CF9AE}" pid="5" name="DATE">
    <vt:lpwstr>20110411</vt:lpwstr>
  </property>
  <property fmtid="{D5CDD505-2E9C-101B-9397-08002B2CF9AE}" pid="6" name="ISABSTRACT">
    <vt:lpwstr>Y</vt:lpwstr>
  </property>
  <property fmtid="{D5CDD505-2E9C-101B-9397-08002B2CF9AE}" pid="7" name="JUDGE">
    <vt:lpwstr>צבי סגל;משה דרורי ומשה יועד הכהן</vt:lpwstr>
  </property>
  <property fmtid="{D5CDD505-2E9C-101B-9397-08002B2CF9AE}" pid="8" name="LAWYER">
    <vt:lpwstr>יובל קפלינסקי;מפרקליטות מחוז ירושלים</vt:lpwstr>
  </property>
  <property fmtid="{D5CDD505-2E9C-101B-9397-08002B2CF9AE}" pid="9" name="NEWPARTA">
    <vt:lpwstr>2643</vt:lpwstr>
  </property>
  <property fmtid="{D5CDD505-2E9C-101B-9397-08002B2CF9AE}" pid="10" name="NEWPARTB">
    <vt:lpwstr>11</vt:lpwstr>
  </property>
  <property fmtid="{D5CDD505-2E9C-101B-9397-08002B2CF9AE}" pid="11" name="NEWPARTC">
    <vt:lpwstr>10</vt:lpwstr>
  </property>
  <property fmtid="{D5CDD505-2E9C-101B-9397-08002B2CF9AE}" pid="12" name="NEWPROC">
    <vt:lpwstr>תפח</vt:lpwstr>
  </property>
  <property fmtid="{D5CDD505-2E9C-101B-9397-08002B2CF9AE}" pid="13" name="PSAKDIN">
    <vt:lpwstr>גזר-דין</vt:lpwstr>
  </property>
  <property fmtid="{D5CDD505-2E9C-101B-9397-08002B2CF9AE}" pid="14" name="RemarkFileName">
    <vt:lpwstr>mechozi me 10 11 2643 270 htm</vt:lpwstr>
  </property>
  <property fmtid="{D5CDD505-2E9C-101B-9397-08002B2CF9AE}" pid="15" name="TYPE">
    <vt:lpwstr>2</vt:lpwstr>
  </property>
  <property fmtid="{D5CDD505-2E9C-101B-9397-08002B2CF9AE}" pid="16" name="TYPE_ABS_DATE">
    <vt:lpwstr>390020110411</vt:lpwstr>
  </property>
  <property fmtid="{D5CDD505-2E9C-101B-9397-08002B2CF9AE}" pid="17" name="TYPE_N_DATE">
    <vt:lpwstr>39020110411</vt:lpwstr>
  </property>
  <property fmtid="{D5CDD505-2E9C-101B-9397-08002B2CF9AE}" pid="18" name="WORDNUMPAGES">
    <vt:lpwstr>2</vt:lpwstr>
  </property>
</Properties>
</file>