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>,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</w:tc>
        <w:tc>
          <w:tcPr>
            <w:tcW w:w="3673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ינואר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         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</w:rPr>
              <w:t>26481-08-13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</w:rPr>
      </w:pPr>
      <w:bookmarkStart w:id="0" w:name="LastJudge"/>
      <w:bookmarkEnd w:id="0"/>
      <w:r>
        <w:rPr>
          <w:rFonts w:cs="Times New Roman"/>
          <w:b/>
          <w:bCs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20"/>
        <w:gridCol w:w="177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ל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סיגל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מחמד שחאדה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אבו עאמר</w:t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בטחון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נידון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- </w:t>
      </w:r>
      <w:r>
        <w:rPr>
          <w:rFonts w:cs="FrankRuehl" w:ascii="Times New Roman" w:hAnsi="Times New Roman"/>
          <w:sz w:val="24"/>
          <w:szCs w:val="26"/>
        </w:rPr>
        <w:t>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- </w:t>
      </w:r>
      <w:r>
        <w:rPr>
          <w:rFonts w:cs="FrankRuehl" w:ascii="Times New Roman" w:hAnsi="Times New Roman"/>
          <w:sz w:val="24"/>
          <w:szCs w:val="26"/>
        </w:rPr>
        <w:t>18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מותנים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ביטחון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בחפירת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השתתפות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צבאי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חמאס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הצטרפות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והסתננות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קובעת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וההרתעה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תושבי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אימונים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צבאיים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הארגון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שתכליתן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התרעה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הגבול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המנהרות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10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–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השופט 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צלקובניק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גם הסכמה למסגרת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 ארבעה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שעניינם עבירות כנגד ביטחון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העובדות בהן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לא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נענה הנאשם להצעת נאדר אבו עואד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פעיל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גדודי עז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אלקסאם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הזרוע צבאית של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שהוכרז כארגון טרור וכהתאחדות בלתי מותרת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הגדודים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להתגייס לארגון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סמוך לאחר גיוסו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הצטרף הנאשם לקבוצות ללימוד דת </w:t>
      </w:r>
      <w:r>
        <w:rPr>
          <w:rFonts w:cs="Arial" w:ascii="Arial" w:hAnsi="Arial"/>
          <w:rtl w:val="true"/>
        </w:rPr>
        <w:t>("</w:t>
      </w:r>
      <w:r>
        <w:rPr>
          <w:rFonts w:ascii="Arial" w:hAnsi="Arial" w:cs="Arial"/>
          <w:rtl w:val="true"/>
        </w:rPr>
        <w:t>אוסרה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>הנאשם השתתף כשנה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אוסרת חמאס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במסגד יאסין שברצועת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שבראשה עמד אחמד אבו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פעיל הגדודים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אבו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לאל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במסגרת זאת למד אודות תנועת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השתתף בשיעורי דת וקוראן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הפעילות שתוארה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לא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לאימון 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שנערך במוצב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אצדאא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השייך לחמאס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בחאן יונס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האימונים נמשכו פעמיים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חודש ימים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באימון השתתפו עשרה פעילים נוספים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בגין פעילות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בעבירה 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מותרת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שעת חירום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התקנות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לא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תחילת 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סיום האימון הצבאי המתואר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ליחידת המנהרות השייכת לחמאס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תחת אחריותו של ראאד שריחי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המשמש כאחראי על יחידת המנהרות באזור מעאזי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פעילותו ביחידת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 עם שישה פעילי גדודים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לחפור מנהרות לצורך פעילות צבאית של החמאס באזור מעאזי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ולשותפיו לקשר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למנהרות אלו שלוש מטרות עיקריות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בפעילות כנגד בטחון מדינת ישראל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לשמש מקום מסתור לטילים של הגדודים בטרם שיגורם לעבר ישראל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לשמש נקודות מארב של פעילי הגדודים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שישמשו אותם לתקיפה מאחור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בהפתעה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שייכנסו לאזור מעאזי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לשמש מקום מסתור לפעילי חמאס בכירים מפני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ביניהם עזאלדין ריאן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אחראי זרוע בגדודים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השיח סלאמה ומוסא אלע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אחראי יחידת המנהרות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פעל כחבר ביחידת המנהרות כשנה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השתתף בחפירת שבע מנהרות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באזור מעאזי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אורך המנהרות היה בין 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 xml:space="preserve">גובהן – </w:t>
      </w:r>
      <w:r>
        <w:rPr>
          <w:rFonts w:cs="Arial" w:ascii="Arial" w:hAnsi="Arial"/>
        </w:rPr>
        <w:t>1.20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ועומק פתחן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בתוך המנהרות הותקן צינור חמצן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ששימש את חופרי המנהרות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בחפירת כל מנהרה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כלי קידוח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השתתפו בו זמנית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כשמונה פעילים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שעשו שימוש במנועים לסחיבת העפר אל מחוץ למנהרה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תפקידו של הנאשם היה בהוצאת שקי עפר מהמנהרות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מנוע חשמלי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התזת מים מחוץ למנהרות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מניעת אבק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ואספקת עצים לחיזוק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ממפעל עצים באיזור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ascii="Arial" w:hAnsi="Arial" w:cs="Arial"/>
          <w:rtl w:val="true"/>
        </w:rPr>
        <w:t>בגין מעשים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בעבירות 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מותרת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</w:t>
      </w:r>
      <w:r>
        <w:rPr>
          <w:rFonts w:cs="Miriam"/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האישום השלישי</w:t>
      </w:r>
      <w:r>
        <w:rPr>
          <w:rFonts w:cs="Arial" w:ascii="Arial" w:hAnsi="Arial"/>
          <w:u w:val="single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לא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לאחר שסיים הנאשם את פעילותו ביחידת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לחולייה בגדודים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שתפקידה היה לבצע שמירות חמושות כנגד כניסת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לאזור מעאזי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 עם שבעה חברי חוליה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כולם פעילי הגדודים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הם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באם אלו יגיעו לאזור בו בוצעו השמירות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וחברי חולייתו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הנחיה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אבו איוב אבו 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לאל 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אחראי על השמירות החמושות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ייכנסו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לאזור בו מבוצעות השמירות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עליהם לפתוח לעברם באש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להרוג את החיילים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ביצוע השמירות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בימי שבת וראשון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תקופה של כחודשיים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נשאו הנאשם ושני חברי חוליה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גופם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אפודי מגן ורובי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ושלושה רימוני יד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הגיעו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לאזור בו בוצעו השמירות וכך נמנעה פגיעה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בגין המעשים המתוארים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בעבירות 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מותרת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</w:t>
      </w:r>
      <w:r>
        <w:rPr>
          <w:rFonts w:cs="Arial" w:ascii="Arial" w:hAnsi="Arial"/>
          <w:rtl w:val="true"/>
        </w:rPr>
        <w:t>;</w:t>
      </w:r>
      <w:r>
        <w:rPr>
          <w:rtl w:val="true"/>
        </w:rPr>
        <w:t xml:space="preserve"> </w:t>
      </w:r>
      <w:r>
        <w:rPr>
          <w:rFonts w:cs="Miriam"/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רצח</w:t>
      </w:r>
      <w:r>
        <w:rPr>
          <w:rFonts w:cs="Miriam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ותחמושת</w:t>
      </w:r>
      <w:r>
        <w:rPr>
          <w:rFonts w:cs="Miriam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23.07.2013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עם שניים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ראיד בורדיני וג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מיל שקורה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לאזור גדר המערכת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בגבול ישראל 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למחסום כיסופים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ושותפיו קפצו מעל הגדר ונכנסו לישראל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כוח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שהוזעק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הבחין בהם ועצר אותם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בעבירה 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הסתננות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1954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המאשימה תעתור להטלת עונש מאסר בפועל שלא יעלה על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וטיעונה של ההגנה יהא חופשי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יוטל על הנאשם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לתקופה שתקבע על ידי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בטיעוניה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חומרת ביצוען של עבירות כנגד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הסכנה הנשקפת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צרכי ההרתעה המחייבים ענישה הולמת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פעילותו של הנאשם נמשכה לאורך זמן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היווה חלק משרשרת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ופעל במסגרת מערך המנהרות המשמש את החמאס בלחימה מול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באופנים שונים וקטלניים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שאף הוברר במסגרת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צוק איתן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לאחרונה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העיסוק במנהרות הינו שכיח ורווח אצל תושבי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משקיע מאמצים ומשאבים רבים לאיתור המנהרות ומניעת חפירתן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במסגרת פעילות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קיפחו חיילים וקצינים את חייהם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לשני פסקי דין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3883/09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כאמל שלוף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5.1.201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בו אושר עונש של תשע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שונות ובכללן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שותף לקשר לחפור מנהרה מרפיח למצרים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ידיעה כי זו תשמש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להברחת אמצעי לחימה לעזה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שהמנהרה לא הושלמה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6328/09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מוחמד אלנג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אר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22.6.2010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לפיו דחה בית המשפט העליון ערעור כנגד עונש של עשר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שהוטל על המערער שהיה שותף לחפירת מנהרה ולהברחת 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עותרת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להטיל על הנאשם את העונש המירבי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שהוצג על ידי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מותנה ארוך ומרתיע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 כי יש להתחשב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שהנאשם ביצע את העבירות על גבול קטינות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בהיותו כבן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הוא גדל במשפחה ענייה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ומרובת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יוחס לה שיתוף פעולה עם ישראל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פעל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כורח וחוסר ברירה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ופעילותו לא הובילה לפגיעה 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נדרש ליטול חלק בלימודי 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שאינו 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לעבוד בעבודות סבלות של פינוי חול מהמנהרות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והעברת מוצרים מוברחים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היה מעורב כלל בתכנון מבנה המנהרות או בקביעת מיקומן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הבחין מעולם בהעברת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ורק בשלב מאוחר שמע כי המנהרות משמשות לצרכים צבאיים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באחת מתקיפות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על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נהרגו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אנשי 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רק הנאשם לבדו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ניצל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פחדיו החליט להפסיק פעילותו האמורה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העובדה שנותר בחיים ולאחר שניתק קשריו עם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נחשד הנאשם בשיתוף פעולה עם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ומספר פעמים אף נחקר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עונה ונכלא על ידי החמאס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הואשם בעבירות של סחר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וחויב לשלם קנסות וערבויות שגרמו לו לנזק כלכלי קשה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לברוח מעזה  ולהסתנן לישראל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עלה מחקירתו של המערער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מטרתו הייתה לברוח מעזה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יותר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גם אחיו נאלץ לברוח למצרים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וחלוף הזמן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להטלת עונש מתון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ההסדר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בדברו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הנאשם צער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הפסיקה המושרשת בעניינן של עבירות המכוונות כנגד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ליתן משקל בכורה לשיקולי הגמול וההרתעה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צרכי ההגנה על ביטחון תושבי מדינת ישראל</w:t>
      </w:r>
      <w:r>
        <w:rPr>
          <w:rFonts w:cs="Arial" w:ascii="Arial" w:hAnsi="Arial"/>
          <w:rtl w:val="true"/>
        </w:rPr>
        <w:t xml:space="preserve">; </w:t>
      </w:r>
      <w:bookmarkStart w:id="11" w:name="Text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 נקבע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עפ </w:t>
        </w:r>
        <w:r>
          <w:rPr>
            <w:rStyle w:val="Hyperlink"/>
            <w:rFonts w:cs="Arial" w:ascii="Arial" w:hAnsi="Arial"/>
            <w:color w:val="0000FF"/>
            <w:u w:val="single"/>
          </w:rPr>
          <w:t>3528/14</w:t>
        </w:r>
      </w:hyperlink>
      <w:r>
        <w:rPr>
          <w:rFonts w:cs="Arial" w:ascii="Arial" w:hAnsi="Arial"/>
          <w:color w:val="000000"/>
          <w:rtl w:val="true"/>
        </w:rPr>
        <w:t xml:space="preserve"> ‏‏ </w:t>
      </w:r>
      <w:r>
        <w:rPr>
          <w:rFonts w:ascii="Arial" w:hAnsi="Arial" w:cs="Arial"/>
          <w:color w:val="000000"/>
          <w:u w:val="single"/>
          <w:rtl w:val="true"/>
        </w:rPr>
        <w:t>דאוד בכיראת נ</w:t>
      </w:r>
      <w:r>
        <w:rPr>
          <w:rFonts w:cs="Arial" w:ascii="Arial" w:hAnsi="Arial"/>
          <w:color w:val="000000"/>
          <w:u w:val="single"/>
          <w:rtl w:val="true"/>
        </w:rPr>
        <w:t xml:space="preserve">' </w:t>
      </w:r>
      <w:r>
        <w:rPr>
          <w:rFonts w:ascii="Arial" w:hAnsi="Arial" w:cs="Arial"/>
          <w:color w:val="000000"/>
          <w:u w:val="single"/>
          <w:rtl w:val="true"/>
        </w:rPr>
        <w:t>מדינת ישראל</w:t>
      </w:r>
      <w:bookmarkEnd w:id="11"/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22.9.2014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93" w:end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בית משפט זה נקט קו מחמיר בעבירות בתחום פעילותם של ארגוני טרור </w:t>
      </w:r>
      <w:r>
        <w:rPr>
          <w:rFonts w:cs="Arial" w:ascii="Arial" w:hAnsi="Arial"/>
          <w:b/>
          <w:bCs/>
          <w:color w:val="000000"/>
          <w:sz w:val="22"/>
          <w:szCs w:val="22"/>
          <w:rtl w:val="true"/>
        </w:rPr>
        <w:t>(</w:t>
      </w:r>
      <w:hyperlink r:id="rId22"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</w:rPr>
          <w:t>6274/12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גראבה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>[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b/>
          <w:bCs/>
          <w:sz w:val="22"/>
          <w:szCs w:val="22"/>
          <w:rtl w:val="true"/>
        </w:rPr>
        <w:t>] (</w:t>
      </w:r>
      <w:r>
        <w:rPr>
          <w:rFonts w:cs="Arial" w:ascii="Arial" w:hAnsi="Arial"/>
          <w:b/>
          <w:bCs/>
          <w:color w:val="000000"/>
          <w:sz w:val="22"/>
          <w:szCs w:val="22"/>
        </w:rPr>
        <w:t>2013</w:t>
      </w:r>
      <w:r>
        <w:rPr>
          <w:rFonts w:cs="Arial" w:ascii="Arial" w:hAnsi="Arial"/>
          <w:b/>
          <w:bCs/>
          <w:color w:val="000000"/>
          <w:sz w:val="22"/>
          <w:szCs w:val="22"/>
          <w:rtl w:val="true"/>
        </w:rPr>
        <w:t xml:space="preserve">); </w:t>
      </w:r>
      <w:hyperlink r:id="rId23"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</w:rPr>
          <w:t>2651/10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פלוני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>[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b/>
          <w:bCs/>
          <w:sz w:val="22"/>
          <w:szCs w:val="22"/>
          <w:rtl w:val="true"/>
        </w:rPr>
        <w:t>] (</w:t>
      </w:r>
      <w:r>
        <w:rPr>
          <w:rFonts w:cs="Arial" w:ascii="Arial" w:hAnsi="Arial"/>
          <w:b/>
          <w:bCs/>
          <w:sz w:val="22"/>
          <w:szCs w:val="22"/>
        </w:rPr>
        <w:t>2011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); </w:t>
      </w: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</w:rPr>
          <w:t>3577/12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פריח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>[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b/>
          <w:bCs/>
          <w:sz w:val="22"/>
          <w:szCs w:val="22"/>
          <w:rtl w:val="true"/>
        </w:rPr>
        <w:t>] (</w:t>
      </w:r>
      <w:r>
        <w:rPr>
          <w:rFonts w:cs="Arial" w:ascii="Arial" w:hAnsi="Arial"/>
          <w:b/>
          <w:bCs/>
          <w:sz w:val="22"/>
          <w:szCs w:val="22"/>
        </w:rPr>
        <w:t>2014</w:t>
      </w:r>
      <w:r>
        <w:rPr>
          <w:rFonts w:cs="Arial" w:ascii="Arial" w:hAnsi="Arial"/>
          <w:b/>
          <w:bCs/>
          <w:sz w:val="22"/>
          <w:szCs w:val="22"/>
          <w:rtl w:val="true"/>
        </w:rPr>
        <w:t>)),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הואיל וגלום בהן פוטנציאל סיכון לתושבי ישראל וכוחות הביטחון</w:t>
      </w:r>
      <w:r>
        <w:rPr>
          <w:rFonts w:cs="Arial" w:ascii="Arial" w:hAnsi="Arial"/>
          <w:b/>
          <w:bCs/>
          <w:sz w:val="22"/>
          <w:szCs w:val="22"/>
          <w:rtl w:val="true"/>
        </w:rPr>
        <w:t>" (</w:t>
      </w:r>
      <w:hyperlink r:id="rId25"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2"/>
            <w:szCs w:val="22"/>
            <w:u w:val="single"/>
          </w:rPr>
          <w:t>3883/09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שלוף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>[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b/>
          <w:bCs/>
          <w:sz w:val="22"/>
          <w:szCs w:val="22"/>
          <w:rtl w:val="true"/>
        </w:rPr>
        <w:t>] (</w:t>
      </w:r>
      <w:r>
        <w:rPr>
          <w:rFonts w:cs="Arial" w:ascii="Arial" w:hAnsi="Arial"/>
          <w:b/>
          <w:bCs/>
          <w:sz w:val="22"/>
          <w:szCs w:val="22"/>
        </w:rPr>
        <w:t>2010</w:t>
      </w:r>
      <w:r>
        <w:rPr>
          <w:rFonts w:cs="Arial" w:ascii="Arial" w:hAnsi="Arial"/>
          <w:b/>
          <w:bCs/>
          <w:sz w:val="22"/>
          <w:szCs w:val="22"/>
          <w:rtl w:val="true"/>
        </w:rPr>
        <w:t>) 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השופט לוי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b/>
          <w:bCs/>
          <w:sz w:val="22"/>
          <w:szCs w:val="22"/>
        </w:rPr>
        <w:t>3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וביסודן מחויבות לפגיעה בישראל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בגדרי ארגון כזה או אחר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צרכי ענישה אלה אינם מותנים בהצלחת המעשים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נסיבותיהם האישיות של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 הצעיר ומניעיהם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בעלי משקל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 המעשים ופוטנציאל הפגיעה הגלום בהם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למול גילו הצעיר ועברו הנקי של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נאשם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זה או אחר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b/>
          <w:bCs/>
          <w:sz w:val="22"/>
          <w:szCs w:val="22"/>
          <w:rtl w:val="true"/>
        </w:rPr>
        <w:t>...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ניצבות במלוא קומתן חומרת העבירות והשלכותיהן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cs="Arial" w:ascii="Arial" w:hAnsi="Arial"/>
          <w:sz w:val="22"/>
          <w:szCs w:val="22"/>
          <w:rtl w:val="true"/>
        </w:rPr>
        <w:t>(</w:t>
      </w:r>
      <w:hyperlink r:id="rId26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3528/14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הנ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ל</w:t>
      </w:r>
      <w:r>
        <w:rPr>
          <w:rFonts w:cs="Arial" w:ascii="Arial" w:hAnsi="Arial"/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זה נדרש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לקביעת מתחמי ענישה בגינן של עבירות המתבצעות במסגרת ארגוני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שמידת 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עשויה להשתנות ממקרה 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ודוק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מתחמי ענישה אלה נקבעים במנותק מצרכי 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שגם הובהר 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2626/13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אחמד אל צופי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6.1.2015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 נקבע על ידינו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1010/09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חוסאם עטאר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מתחם הענישה הראוי בגין פעילות בארגון טרור וביצוע אימונים צבאיים מטעם הארגון הינו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ובגין ביצוע שמירות חמושות שתכליתן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התרעה וירי לעבר חיילים באזור הגבול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לאחרונה דן בית המשפט העליון בערעור בעניינו של </w:t>
      </w:r>
      <w:r>
        <w:rPr>
          <w:rFonts w:ascii="Arial" w:hAnsi="Arial" w:cs="Miriam"/>
          <w:rtl w:val="true"/>
        </w:rPr>
        <w:t>חוסאם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עטאר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3614/13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28.12.2014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ראו לעניין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העונש הכולל שהוטל בבית משפט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העבירות שצוינו ובגין עבירות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אושר על ידי בית המשפט העליון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הקמת מערך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יסוד מוסד בפעילות הטרור המתקיימת בעזה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נדונו בפסיקה בעיקר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שימשו המנהרות את צרכי ארגוני הטרור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לצורך הברחת סחורות וחומרי לחימה בין מצרים לעזה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המבצע הצבאי האחרון שנכפה על ישראל לאחר ירי הטילים מעזה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הסתבר כי מערך המנהרות הינו בבחינת נשק ואיום אסטרטגי ישיר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חשיבות מכרעת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תפיסת ארגוני המחבלים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בפעילות הטרור המתבצעת נגד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כנגד הנאשם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המציין את ייעודן הצבאי של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פעילות המחבלים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הובהר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שנמנה על יחידת המנהרות בחמאס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מדבר בעד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ואינו צריך הבהרות מיותרות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האיום הכבד הנשקף לחיילי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ולאזרחי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מאותן מנהרות לחימה ההולכות ומתרבות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אל מול הטענה כי הנאשם היה בעל תפקיד ביצועי בסיסי במלאכת הקמת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נציין רק כי עסק בלא פחות מחפירת שבע מנהרות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להניח כי צבר מיומנות לא קטנה והביא תועלת רבה במלאכת הקמת המנהרות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וכבר נאמר לא אחת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כי המאבק של מדינת ישראל בטרור הרצחני אינו מאבק רק במפגעים או במשלחיהם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 xml:space="preserve">אלא גם בכל מי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שמשמן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"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בצורה זו או אחרת את גלגלי הטרור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ובכל מי שמהווה חלק מ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שרשרת המוות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".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כל רמה מרמות הפעילות של ארגוני הטרור צריכה למצוא מענה משפטי הולם במסגרת המלחמה בטרור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hyperlink r:id="rId30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4352/08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פלוני נ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מדינת ישראל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sz w:val="22"/>
          <w:szCs w:val="22"/>
          <w:u w:val="single"/>
          <w:rtl w:val="true"/>
        </w:rPr>
        <w:t>,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</w:rPr>
        <w:t>23.3.2009</w:t>
      </w:r>
      <w:r>
        <w:rPr>
          <w:rFonts w:cs="Arial" w:ascii="Arial" w:hAnsi="Arial"/>
          <w:sz w:val="22"/>
          <w:szCs w:val="22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rtl w:val="true"/>
        </w:rPr>
        <w:t>רמת הענישה הנוגעת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תפעול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מנהרות המיועדות להברחת חומרי לחימה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עד כה  מהפסיקה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אחידה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אף הדעות לגבי מידת החומרה שיש לנהוג בסוג פעילות טרור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מהדיון בעניין זה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color w:val="000000"/>
          <w:rtl w:val="true"/>
        </w:rPr>
        <w:t xml:space="preserve">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8620/10</w:t>
        </w:r>
      </w:hyperlink>
      <w:r>
        <w:rPr>
          <w:rFonts w:cs="Arial" w:ascii="Arial" w:hAnsi="Arial"/>
          <w:color w:val="000000"/>
          <w:rtl w:val="true"/>
        </w:rPr>
        <w:t xml:space="preserve"> ‏</w:t>
      </w:r>
      <w:r>
        <w:rPr>
          <w:rFonts w:ascii="Arial" w:hAnsi="Arial" w:cs="Arial"/>
          <w:color w:val="000000"/>
          <w:u w:val="single"/>
          <w:rtl w:val="true"/>
        </w:rPr>
        <w:t>פלוני נ</w:t>
      </w:r>
      <w:r>
        <w:rPr>
          <w:rFonts w:cs="Arial" w:ascii="Arial" w:hAnsi="Arial"/>
          <w:color w:val="000000"/>
          <w:u w:val="single"/>
          <w:rtl w:val="true"/>
        </w:rPr>
        <w:t xml:space="preserve">' </w:t>
      </w:r>
      <w:r>
        <w:rPr>
          <w:rFonts w:ascii="Arial" w:hAnsi="Arial" w:cs="Arial"/>
          <w:color w:val="000000"/>
          <w:u w:val="single"/>
          <w:rtl w:val="true"/>
        </w:rPr>
        <w:t>מדינת ישראל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 xml:space="preserve">פסקה </w:t>
      </w:r>
      <w:r>
        <w:rPr>
          <w:rFonts w:cs="Arial" w:ascii="Arial" w:hAnsi="Arial"/>
          <w:color w:val="000000"/>
        </w:rPr>
        <w:t>24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ניתן ביום </w:t>
      </w:r>
      <w:r>
        <w:rPr>
          <w:rFonts w:cs="Arial" w:ascii="Arial" w:hAnsi="Arial"/>
          <w:color w:val="000000"/>
        </w:rPr>
        <w:t>16.1.2013</w:t>
      </w:r>
      <w:r>
        <w:rPr>
          <w:rFonts w:cs="Arial" w:ascii="Arial" w:hAnsi="Arial"/>
          <w:color w:val="000000"/>
          <w:rtl w:val="true"/>
        </w:rPr>
        <w:t>).</w:t>
      </w:r>
      <w:r>
        <w:rPr>
          <w:rFonts w:cs="Arial" w:ascii="Arial" w:hAnsi="Arial"/>
          <w:color w:val="000000"/>
          <w:sz w:val="28"/>
          <w:rtl w:val="true"/>
        </w:rPr>
        <w:t xml:space="preserve"> </w:t>
      </w:r>
      <w:r>
        <w:rPr>
          <w:rFonts w:ascii="Arial" w:hAnsi="Arial" w:cs="Arial"/>
          <w:rtl w:val="true"/>
        </w:rPr>
        <w:t>דעתי היא כי במקרה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תרומתו הממשית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לכינונן של מספר ניכר של 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ותוך מתן הדעת כי לא היה מרכיב מרכזי בהקמתן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שמתחם העונש שראוי להטיל בגין 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 גם עבירה של קשירת קשר עם אחרים לביצוע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 בין חמש לשמונה שנות מאסר לריצוי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28"/>
        </w:rPr>
      </w:pPr>
      <w:r>
        <w:rPr>
          <w:rFonts w:cs="Arial" w:ascii="Arial" w:hAnsi="Arial"/>
          <w:color w:val="000000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משיקולי החומרה העומדים גם בעניין עבירת ההסתננות אותה ביצע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חבר לשניים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לחציית גדר הגבול המפרידה בין עזה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שהצריך הזנקת כוחות צבאיים לצורך איתורם ומעצרם של המסתננים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אלה לא הגיעו לישראל מתוך מטרה לפגוע בביטחון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גם כאשר עבירת הסתננות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מתבצעת למטרה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תמימה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ומשעומדת ברקע הרגישות הביטחונית הגבוהה הקשורה במעבר אסור של הגבול מעזה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שכפי שקבענו במקרים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הראוי ינוע על ציר של שנת מאסר עד שתי שנות מאסר לריצוי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השוו בעניין זה רמת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1674/14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סעיד נ</w:t>
      </w:r>
      <w:r>
        <w:rPr>
          <w:rFonts w:cs="Arial" w:ascii="Arial" w:hAnsi="Arial"/>
          <w:u w:val="single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6.10.2014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נדרשים אנו להטלת עונש במסגרתו של הסדר הטיעון שהוצג 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הסדרי טיעון יש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ואלה מגלמים בחובם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את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הבעת החרטה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את העובדה כי הנאשם ניתק – בנסיבות עלומות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לומר – את קשריו עם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נמלט מפניו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שנטען על ידי סנגורו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להביא לידי ביטוי 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ביצוע המעשים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למתווה העונשי שצוין לגבי העבירות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שיקולי החומרה והקולא שנמנו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גוזרים אנו על הנאשם עונש של </w:t>
      </w:r>
      <w:r>
        <w:rPr>
          <w:rFonts w:ascii="Arial" w:hAnsi="Arial" w:cs="Arial"/>
          <w:rtl w:val="true"/>
        </w:rPr>
        <w:t>שמונה</w:t>
      </w:r>
      <w:r>
        <w:rPr>
          <w:rFonts w:ascii="Arial" w:hAnsi="Arial" w:cs="Arial"/>
          <w:rtl w:val="true"/>
        </w:rPr>
        <w:t xml:space="preserve">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שתחילתן מיום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24.7.2013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בנוסף מוטלים על הנאשם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 מותנים למשך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מיום שחרורו של הנאשם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עבירת פשע כנגד הביטחון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 לבית המשפט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br/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26481-08-13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שחאדה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Calibri" w:hAnsi="Calibri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alibri" w:hAnsi="Calibri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yle14">
    <w:name w:val="כותרת תחת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499.a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2510" TargetMode="External"/><Relationship Id="rId9" Type="http://schemas.openxmlformats.org/officeDocument/2006/relationships/hyperlink" Target="http://www.nevo.co.il/law/72510/2" TargetMode="External"/><Relationship Id="rId10" Type="http://schemas.openxmlformats.org/officeDocument/2006/relationships/hyperlink" Target="http://www.nevo.co.il/law/73729/85.1.a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3729/85.1.a" TargetMode="External"/><Relationship Id="rId13" Type="http://schemas.openxmlformats.org/officeDocument/2006/relationships/hyperlink" Target="http://www.nevo.co.il/law/73729/499.a.1" TargetMode="External"/><Relationship Id="rId14" Type="http://schemas.openxmlformats.org/officeDocument/2006/relationships/hyperlink" Target="http://www.nevo.co.il/law/73729/85.1.a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2510/2" TargetMode="External"/><Relationship Id="rId18" Type="http://schemas.openxmlformats.org/officeDocument/2006/relationships/hyperlink" Target="http://www.nevo.co.il/law/72510" TargetMode="External"/><Relationship Id="rId19" Type="http://schemas.openxmlformats.org/officeDocument/2006/relationships/hyperlink" Target="http://www.nevo.co.il/case/5698528" TargetMode="External"/><Relationship Id="rId20" Type="http://schemas.openxmlformats.org/officeDocument/2006/relationships/hyperlink" Target="http://www.nevo.co.il/case/6059765" TargetMode="External"/><Relationship Id="rId21" Type="http://schemas.openxmlformats.org/officeDocument/2006/relationships/hyperlink" Target="http://www.nevo.co.il/case/17016459" TargetMode="External"/><Relationship Id="rId22" Type="http://schemas.openxmlformats.org/officeDocument/2006/relationships/hyperlink" Target="http://www.nevo.co.il/case/5593988" TargetMode="External"/><Relationship Id="rId23" Type="http://schemas.openxmlformats.org/officeDocument/2006/relationships/hyperlink" Target="http://www.nevo.co.il/case/5849275" TargetMode="External"/><Relationship Id="rId24" Type="http://schemas.openxmlformats.org/officeDocument/2006/relationships/hyperlink" Target="http://www.nevo.co.il/case/5583777" TargetMode="External"/><Relationship Id="rId25" Type="http://schemas.openxmlformats.org/officeDocument/2006/relationships/hyperlink" Target="http://www.nevo.co.il/case/5698528" TargetMode="External"/><Relationship Id="rId26" Type="http://schemas.openxmlformats.org/officeDocument/2006/relationships/hyperlink" Target="http://www.nevo.co.il/case/1701645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7765404" TargetMode="External"/><Relationship Id="rId29" Type="http://schemas.openxmlformats.org/officeDocument/2006/relationships/hyperlink" Target="http://www.nevo.co.il/case/7012301" TargetMode="External"/><Relationship Id="rId30" Type="http://schemas.openxmlformats.org/officeDocument/2006/relationships/hyperlink" Target="http://www.nevo.co.il/case/6245576" TargetMode="External"/><Relationship Id="rId31" Type="http://schemas.openxmlformats.org/officeDocument/2006/relationships/hyperlink" Target="http://www.nevo.co.il/case/6022328" TargetMode="External"/><Relationship Id="rId32" Type="http://schemas.openxmlformats.org/officeDocument/2006/relationships/hyperlink" Target="http://www.nevo.co.il/case/18087713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2015-02-04T12:06:00Z</dcterms:created>
  <dc:creator> </dc:creator>
  <dc:description/>
  <cp:keywords/>
  <dc:language>en-IL</dc:language>
  <cp:lastModifiedBy>orly</cp:lastModifiedBy>
  <dcterms:modified xsi:type="dcterms:W3CDTF">2015-02-04T12:47:00Z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שחאדה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5698528:2;6059765;17016459:2;5593988;5849275;5583777;7765404;7012301;6245576;6022328;18087713</vt:lpwstr>
  </property>
  <property fmtid="{D5CDD505-2E9C-101B-9397-08002B2CF9AE}" pid="9" name="CITY">
    <vt:lpwstr>ב"ש</vt:lpwstr>
  </property>
  <property fmtid="{D5CDD505-2E9C-101B-9397-08002B2CF9AE}" pid="10" name="DATE">
    <vt:lpwstr>20150112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ר. יפה כ#ץ;א. ואגו;י. צלקובניק</vt:lpwstr>
  </property>
  <property fmtid="{D5CDD505-2E9C-101B-9397-08002B2CF9AE}" pid="14" name="LAWLISTTMP1">
    <vt:lpwstr>73729/085.1.a:3;499.a.1</vt:lpwstr>
  </property>
  <property fmtid="{D5CDD505-2E9C-101B-9397-08002B2CF9AE}" pid="15" name="LAWLISTTMP2">
    <vt:lpwstr>70301/499.a.1:2;144.b</vt:lpwstr>
  </property>
  <property fmtid="{D5CDD505-2E9C-101B-9397-08002B2CF9AE}" pid="16" name="LAWLISTTMP3">
    <vt:lpwstr>72510/002</vt:lpwstr>
  </property>
  <property fmtid="{D5CDD505-2E9C-101B-9397-08002B2CF9AE}" pid="17" name="LAWYER">
    <vt:lpwstr>ל' לוי סיגל;ע' אבו עאמר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26481</vt:lpwstr>
  </property>
  <property fmtid="{D5CDD505-2E9C-101B-9397-08002B2CF9AE}" pid="25" name="NEWPARTB">
    <vt:lpwstr>08</vt:lpwstr>
  </property>
  <property fmtid="{D5CDD505-2E9C-101B-9397-08002B2CF9AE}" pid="26" name="NEWPARTC">
    <vt:lpwstr>13</vt:lpwstr>
  </property>
  <property fmtid="{D5CDD505-2E9C-101B-9397-08002B2CF9AE}" pid="27" name="NEWPROC">
    <vt:lpwstr>תפח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</vt:lpwstr>
  </property>
  <property fmtid="{D5CDD505-2E9C-101B-9397-08002B2CF9AE}" pid="50" name="NOSE31">
    <vt:lpwstr>מדיניות ענישה: עבירות ביטחון</vt:lpwstr>
  </property>
  <property fmtid="{D5CDD505-2E9C-101B-9397-08002B2CF9AE}" pid="51" name="NOSE310">
    <vt:lpwstr/>
  </property>
  <property fmtid="{D5CDD505-2E9C-101B-9397-08002B2CF9AE}" pid="52" name="NOSE32">
    <vt:lpwstr>שיקולי ענישה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8985;15506</vt:lpwstr>
  </property>
  <property fmtid="{D5CDD505-2E9C-101B-9397-08002B2CF9AE}" pid="61" name="PADIDATE">
    <vt:lpwstr>20150204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390120150112</vt:lpwstr>
  </property>
  <property fmtid="{D5CDD505-2E9C-101B-9397-08002B2CF9AE}" pid="71" name="TYPE_N_DATE">
    <vt:lpwstr>39020150112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