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58"/>
        <w:gridCol w:w="385"/>
        <w:gridCol w:w="69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1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28761-12-09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אלשמאלי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21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נביל אלשמאלי 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רועי פרי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כהן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קובי מושקוביץ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מנחם פינקלשטיין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טנקג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30-08-2010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רחל זוארץ 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אלעד רט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קובי מושקוביץ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מנחם פינקלשטיין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טנקג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30-08-2010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רחל זוארץ 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אלעד רט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09-02-2011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גורדון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רט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19-01-2010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קובי מושקוביץ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24-02-2010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מנחם פינקלשטיין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טנקג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19-07-2010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28761-12-09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נביל אלשמאלי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עופר גרוסקופף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30-08-2010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רחל זוארץ 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אלעד רט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06-02-2011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גורדן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וייש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6219/10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נביל אלשמאלי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גורדון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רט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28"/>
          <w:szCs w:val="28"/>
        </w:rPr>
      </w:pPr>
      <w:bookmarkStart w:id="5" w:name="Links_End"/>
      <w:bookmarkEnd w:id="5"/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Links_Start"/>
      <w:bookmarkStart w:id="7" w:name="LawTable"/>
      <w:bookmarkStart w:id="8" w:name="Links_Start"/>
      <w:bookmarkStart w:id="9" w:name="LawTable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2" w:name="PsakDin"/>
      <w:bookmarkEnd w:id="1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end="0"/>
        <w:jc w:val="both"/>
        <w:rPr/>
      </w:pPr>
      <w:bookmarkStart w:id="15" w:name="ABSTRACT_START"/>
      <w:bookmarkEnd w:id="15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נביל אלשמאלי</w:t>
      </w:r>
      <w:r>
        <w:rPr>
          <w:rtl w:val="true"/>
        </w:rPr>
        <w:t xml:space="preserve">, </w:t>
      </w:r>
      <w:r>
        <w:rPr>
          <w:rtl w:val="true"/>
        </w:rPr>
        <w:t>הורשע לפי הודייתו בכתב אישום מתוקן בעבירה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 xml:space="preserve">בצירוף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שלפיו תוקן כתב האישום המקורי</w:t>
      </w:r>
      <w:r>
        <w:rPr>
          <w:rtl w:val="true"/>
        </w:rPr>
        <w:t xml:space="preserve">, </w:t>
      </w:r>
      <w:r>
        <w:rPr>
          <w:rtl w:val="true"/>
        </w:rPr>
        <w:t xml:space="preserve">והנאשם הופנה לשירות המבחן לקבלת תסקיר כמתחייב מגילו </w:t>
      </w:r>
      <w:r>
        <w:rPr>
          <w:rtl w:val="true"/>
        </w:rPr>
        <w:t>(</w:t>
      </w:r>
      <w:r>
        <w:rPr>
          <w:rtl w:val="true"/>
        </w:rPr>
        <w:t xml:space="preserve">כבן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). </w:t>
      </w:r>
      <w:r>
        <w:rPr>
          <w:rtl w:val="true"/>
        </w:rPr>
        <w:t>הסדר הטיעון אינו כולל הסכמה 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16.12.09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בשכונת ג</w:t>
      </w:r>
      <w:r>
        <w:rPr>
          <w:rtl w:val="true"/>
        </w:rPr>
        <w:t>'</w:t>
      </w:r>
      <w:r>
        <w:rPr>
          <w:rtl w:val="true"/>
        </w:rPr>
        <w:t>ואריש ברמלה</w:t>
      </w:r>
      <w:r>
        <w:rPr>
          <w:rtl w:val="true"/>
        </w:rPr>
        <w:t xml:space="preserve">, </w:t>
      </w:r>
      <w:r>
        <w:rPr>
          <w:rtl w:val="true"/>
        </w:rPr>
        <w:t>הבעיר הנאשם מטען חבלה שהיה בידו והשליך אותו לכיוון הבניין שבו מתגוררת משפחת אבו עאמר</w:t>
      </w:r>
      <w:r>
        <w:rPr>
          <w:rtl w:val="true"/>
        </w:rPr>
        <w:t xml:space="preserve">. </w:t>
      </w:r>
      <w:r>
        <w:rPr>
          <w:rtl w:val="true"/>
        </w:rPr>
        <w:t xml:space="preserve">בעת השלכת המטען עמד קטין בן המשפחה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") </w:t>
      </w:r>
      <w:r>
        <w:rPr>
          <w:rtl w:val="true"/>
        </w:rPr>
        <w:t>על מדרגות הבניין</w:t>
      </w:r>
      <w:r>
        <w:rPr>
          <w:rtl w:val="true"/>
        </w:rPr>
        <w:t xml:space="preserve">. </w:t>
      </w:r>
      <w:r>
        <w:rPr>
          <w:rtl w:val="true"/>
        </w:rPr>
        <w:t>כאשר הבחין הקטין בנאשם כשהוא מבעיר את המטען</w:t>
      </w:r>
      <w:r>
        <w:rPr>
          <w:rtl w:val="true"/>
        </w:rPr>
        <w:t xml:space="preserve">, </w:t>
      </w:r>
      <w:r>
        <w:rPr>
          <w:rtl w:val="true"/>
        </w:rPr>
        <w:t>צעק הקטין את שם הנאשם</w:t>
      </w:r>
      <w:r>
        <w:rPr>
          <w:rtl w:val="true"/>
        </w:rPr>
        <w:t xml:space="preserve">, </w:t>
      </w:r>
      <w:r>
        <w:rPr>
          <w:rtl w:val="true"/>
        </w:rPr>
        <w:t>וכן צעק לבני משפחתו להימלט מן 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 שירות המבחן מפורטות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לימוד והפסיק לימודיו כדי לסייע בפרנסת המשפחה</w:t>
      </w:r>
      <w:r>
        <w:rPr>
          <w:rtl w:val="true"/>
        </w:rPr>
        <w:t xml:space="preserve">. </w:t>
      </w:r>
      <w:r>
        <w:rPr>
          <w:rtl w:val="true"/>
        </w:rPr>
        <w:t>שניים מאחיו שפוטים לתקופות מאסר ממושכות בגין עבירות חמורות</w:t>
      </w:r>
      <w:r>
        <w:rPr>
          <w:rtl w:val="true"/>
        </w:rPr>
        <w:t xml:space="preserve">. </w:t>
      </w:r>
      <w:r>
        <w:rPr>
          <w:rtl w:val="true"/>
        </w:rPr>
        <w:t>המשפחה במצוקה כלכלית</w:t>
      </w:r>
      <w:r>
        <w:rPr>
          <w:rtl w:val="true"/>
        </w:rPr>
        <w:t xml:space="preserve">. </w:t>
      </w:r>
      <w:r>
        <w:rPr>
          <w:rtl w:val="true"/>
        </w:rPr>
        <w:t>לנאשם אין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מאז היותו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הוא סובל מתופעה של רעד בידיים וברגליים</w:t>
      </w:r>
      <w:r>
        <w:rPr>
          <w:rtl w:val="true"/>
        </w:rPr>
        <w:t xml:space="preserve">. </w:t>
      </w:r>
      <w:r>
        <w:rPr>
          <w:rtl w:val="true"/>
        </w:rPr>
        <w:t>הוא מסר שביום האירוע הוא חזר מעבודה ונבהל כשראה את אחיו הצעיר מדמם מעינו לאחר שהותקף על ידי משפחת המתלונן</w:t>
      </w:r>
      <w:r>
        <w:rPr>
          <w:rtl w:val="true"/>
        </w:rPr>
        <w:t xml:space="preserve">. </w:t>
      </w:r>
      <w:r>
        <w:rPr>
          <w:rtl w:val="true"/>
        </w:rPr>
        <w:t>קצינת המבחן התרשמה שהנאשם הגיב באימפולסיביות ללא שקילת תוצאות התנהגותו</w:t>
      </w:r>
      <w:r>
        <w:rPr>
          <w:rtl w:val="true"/>
        </w:rPr>
        <w:t xml:space="preserve">. </w:t>
      </w:r>
      <w:r>
        <w:rPr>
          <w:rtl w:val="true"/>
        </w:rPr>
        <w:t>הוא הביע בפני קצינת המבחן חרטה וצער על התנהגותו</w:t>
      </w:r>
      <w:r>
        <w:rPr>
          <w:rtl w:val="true"/>
        </w:rPr>
        <w:t xml:space="preserve">. </w:t>
      </w:r>
      <w:r>
        <w:rPr>
          <w:rtl w:val="true"/>
        </w:rPr>
        <w:t>ההורים של הנאשם תיארו את בנם כאדם חלש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 המבחן התרשמה כי המידע שנמסר לשירות המבחן הוא חלקי ומצומצם</w:t>
      </w:r>
      <w:r>
        <w:rPr>
          <w:rtl w:val="true"/>
        </w:rPr>
        <w:t xml:space="preserve">, </w:t>
      </w:r>
      <w:r>
        <w:rPr>
          <w:rtl w:val="true"/>
        </w:rPr>
        <w:t>כך שנותרה תמונה לא ברורה ביחס לרקע הסכסוך בין המשפחות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מוסכם על הצדדים כי לאירוע נשוא כתב האישום קדמו שני אירועים באותו ערב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ניסיון דריסה של אחד ממשפחת המתלונן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 מכן פציעתו של אחיו הצעיר של הנאשם בעינו</w:t>
      </w:r>
      <w:r>
        <w:rPr>
          <w:rtl w:val="true"/>
        </w:rPr>
        <w:t xml:space="preserve">. </w:t>
      </w:r>
      <w:r>
        <w:rPr>
          <w:rtl w:val="true"/>
        </w:rPr>
        <w:t>פציעה זו התרחשה כשעה וחצי לפני השעה שבה אירע האירוע דנן</w:t>
      </w:r>
      <w:r>
        <w:rPr>
          <w:rtl w:val="true"/>
        </w:rPr>
        <w:t xml:space="preserve">. </w:t>
      </w:r>
      <w:r>
        <w:rPr>
          <w:rtl w:val="true"/>
        </w:rPr>
        <w:t xml:space="preserve">עוד יצוין כי בין שתי המשפחות נערך הסכם סולחה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שבו צוין כי הסכסוך בין המשפחות הוא </w:t>
      </w:r>
      <w:r>
        <w:rPr>
          <w:rtl w:val="true"/>
        </w:rPr>
        <w:t>"</w:t>
      </w:r>
      <w:r>
        <w:rPr>
          <w:rtl w:val="true"/>
        </w:rPr>
        <w:t>מעידה חד פעמית</w:t>
      </w:r>
      <w:r>
        <w:rPr>
          <w:rtl w:val="true"/>
        </w:rPr>
        <w:t xml:space="preserve">", </w:t>
      </w:r>
      <w:r>
        <w:rPr>
          <w:rtl w:val="true"/>
        </w:rPr>
        <w:t>וכי מצב השלום חזר לקדמותו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 המבחן סברה כי למרות חומרת האישום מן הראוי להפנות את הנאשם לטיפול</w:t>
      </w:r>
      <w:r>
        <w:rPr>
          <w:rtl w:val="true"/>
        </w:rPr>
        <w:t xml:space="preserve">, </w:t>
      </w:r>
      <w:r>
        <w:rPr>
          <w:rtl w:val="true"/>
        </w:rPr>
        <w:t>ועל כן המליצה להעמידו בפיקוח שירות המבחן</w:t>
      </w:r>
      <w:r>
        <w:rPr>
          <w:rtl w:val="true"/>
        </w:rPr>
        <w:t xml:space="preserve">, </w:t>
      </w:r>
      <w:r>
        <w:rPr>
          <w:rtl w:val="true"/>
        </w:rPr>
        <w:t>בצד הטלת עונש שיאפשר את ביצוע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שמענו את טיעוני ב</w:t>
      </w:r>
      <w:r>
        <w:rPr>
          <w:rtl w:val="true"/>
        </w:rPr>
        <w:t>"</w:t>
      </w:r>
      <w:r>
        <w:rPr>
          <w:rtl w:val="true"/>
        </w:rPr>
        <w:t>כ הצדדים אשר גם הגישו לנו 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עמד על ההיבטים השונים של האירוע </w:t>
      </w:r>
      <w:r>
        <w:rPr>
          <w:rtl w:val="true"/>
        </w:rPr>
        <w:t>–</w:t>
      </w:r>
      <w:r>
        <w:rPr>
          <w:rtl w:val="true"/>
        </w:rPr>
        <w:t xml:space="preserve"> הן לחומרה והן לקולא</w:t>
      </w:r>
      <w:r>
        <w:rPr>
          <w:rtl w:val="true"/>
        </w:rPr>
        <w:t xml:space="preserve">. </w:t>
      </w:r>
      <w:r>
        <w:rPr>
          <w:rtl w:val="true"/>
        </w:rPr>
        <w:t>ההיבטים המחמירים הם תעוזתו של הנאשם בעשותו שימוש במטען חבלה שהוא נשק התקפי מובהק ולהשליך אותו לבית מגורים</w:t>
      </w:r>
      <w:r>
        <w:rPr>
          <w:rtl w:val="true"/>
        </w:rPr>
        <w:t xml:space="preserve">. </w:t>
      </w:r>
      <w:r>
        <w:rPr>
          <w:rtl w:val="true"/>
        </w:rPr>
        <w:t>פוטנציאל הפגיעה היה גבוה ורק בנס לא נגרם נזק חמור</w:t>
      </w:r>
      <w:r>
        <w:rPr>
          <w:rtl w:val="true"/>
        </w:rPr>
        <w:t xml:space="preserve">. </w:t>
      </w:r>
      <w:r>
        <w:rPr>
          <w:rtl w:val="true"/>
        </w:rPr>
        <w:t>לפי הפסיקה מן הראוי להטיל ענישה קשה על מי שמשתמשים בנשק חם למטרת פתרון סכסוכים</w:t>
      </w:r>
      <w:r>
        <w:rPr>
          <w:rtl w:val="true"/>
        </w:rPr>
        <w:t xml:space="preserve">, </w:t>
      </w:r>
      <w:r>
        <w:rPr>
          <w:rtl w:val="true"/>
        </w:rPr>
        <w:t>ובוודאי כך כאשר מדובר בנשק מהסוג של מטען 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על ההיבטים המקלים</w:t>
      </w:r>
      <w:r>
        <w:rPr>
          <w:rtl w:val="true"/>
        </w:rPr>
        <w:t xml:space="preserve">: </w:t>
      </w:r>
      <w:r>
        <w:rPr>
          <w:rtl w:val="true"/>
        </w:rPr>
        <w:t>הנאשם הוא צעיר</w:t>
      </w:r>
      <w:r>
        <w:rPr>
          <w:rtl w:val="true"/>
        </w:rPr>
        <w:t xml:space="preserve">, </w:t>
      </w:r>
      <w:r>
        <w:rPr>
          <w:rtl w:val="true"/>
        </w:rPr>
        <w:t>וזו לו העבירה הראשונה שביצע</w:t>
      </w:r>
      <w:r>
        <w:rPr>
          <w:rtl w:val="true"/>
        </w:rPr>
        <w:t xml:space="preserve">. </w:t>
      </w:r>
      <w:r>
        <w:rPr>
          <w:rtl w:val="true"/>
        </w:rPr>
        <w:t>עבירה זו לא הייתה מתוכננת אלא בוצעה כתגובה על תקיפה חריפה של אחיו הצעיר</w:t>
      </w:r>
      <w:r>
        <w:rPr>
          <w:rtl w:val="true"/>
        </w:rPr>
        <w:t xml:space="preserve">. </w:t>
      </w:r>
      <w:r>
        <w:rPr>
          <w:rtl w:val="true"/>
        </w:rPr>
        <w:t>הנאשם כבר היה עצור למעלה מחודש ובמעצר בית מזה כמה חודשים ולמד את לקחו</w:t>
      </w:r>
      <w:r>
        <w:rPr>
          <w:rtl w:val="true"/>
        </w:rPr>
        <w:t xml:space="preserve">. </w:t>
      </w:r>
      <w:r>
        <w:rPr>
          <w:rtl w:val="true"/>
        </w:rPr>
        <w:t>גם מפרטי האירוע ומתסקיר שירות המבחן עולה כי אין מדובר למעשה בעבריין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בעת השלכת המטען המאולתר היה הנאשם גלוי פנים</w:t>
      </w:r>
      <w:r>
        <w:rPr>
          <w:rtl w:val="true"/>
        </w:rPr>
        <w:t xml:space="preserve">. </w:t>
      </w:r>
      <w:r>
        <w:rPr>
          <w:rtl w:val="true"/>
        </w:rPr>
        <w:t>קצינת המבחן עצמה אינה ממליצה כי יוטל על הנאשם עונש מאסר בכליאה</w:t>
      </w:r>
      <w:r>
        <w:rPr>
          <w:rtl w:val="true"/>
        </w:rPr>
        <w:t xml:space="preserve">. </w:t>
      </w:r>
      <w:r>
        <w:rPr>
          <w:rtl w:val="true"/>
        </w:rPr>
        <w:t>כמו כן צוינו נסיבותיו האישיות הרפואיות והמשפחתיות של הנאשם</w:t>
      </w:r>
      <w:r>
        <w:rPr>
          <w:rtl w:val="true"/>
        </w:rPr>
        <w:t xml:space="preserve">. </w:t>
      </w:r>
      <w:r>
        <w:rPr>
          <w:rtl w:val="true"/>
        </w:rPr>
        <w:t>עוד צוין שנערך הסכם סולחה בין המשפחות</w:t>
      </w:r>
      <w:r>
        <w:rPr>
          <w:rtl w:val="true"/>
        </w:rPr>
        <w:t xml:space="preserve">. </w:t>
      </w:r>
      <w:r>
        <w:rPr>
          <w:rtl w:val="true"/>
        </w:rPr>
        <w:t>הסנגור הציע אפוא כי הנאשם יועמד בפיקוח שירות המבחן ולו לתקופה ארוכה בצד הטלת עונש מאסר על תנאי</w:t>
      </w:r>
      <w:r>
        <w:rPr>
          <w:rtl w:val="true"/>
        </w:rPr>
        <w:t xml:space="preserve">, </w:t>
      </w:r>
      <w:r>
        <w:rPr>
          <w:rtl w:val="true"/>
        </w:rPr>
        <w:t>ולחלופין כי יוטל על הנאשם עונש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שמענו את טיעוני הצדדים ועיינו בחומר שלפנינו ובפסקי הדין שהוגשו לעיוננו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 כי לפנינו מקרה חמור ומסוכן</w:t>
      </w:r>
      <w:r>
        <w:rPr>
          <w:rtl w:val="true"/>
        </w:rPr>
        <w:t xml:space="preserve">. </w:t>
      </w:r>
      <w:r>
        <w:rPr>
          <w:rtl w:val="true"/>
        </w:rPr>
        <w:t>הנאשם הבעיר מטען חבלה והשליך אותו לעבר בית מגורים שבו מתגוררת משפחה</w:t>
      </w:r>
      <w:r>
        <w:rPr>
          <w:rtl w:val="true"/>
        </w:rPr>
        <w:t xml:space="preserve">. </w:t>
      </w:r>
      <w:r>
        <w:rPr>
          <w:rtl w:val="true"/>
        </w:rPr>
        <w:t>בית המשפט העליון עמד לא אחת על חומרת העבירה של החזקת נשק ושימוש בנשק שלא כדין</w:t>
      </w:r>
      <w:r>
        <w:rPr>
          <w:rtl w:val="true"/>
        </w:rPr>
        <w:t xml:space="preserve">. </w:t>
      </w:r>
      <w:r>
        <w:rPr>
          <w:rtl w:val="true"/>
        </w:rPr>
        <w:t>בבוא בית המשפט לגזור את הדין בעבירות אלה</w:t>
      </w:r>
      <w:r>
        <w:rPr>
          <w:rtl w:val="true"/>
        </w:rPr>
        <w:t xml:space="preserve">, </w:t>
      </w:r>
      <w:r>
        <w:rPr>
          <w:rtl w:val="true"/>
        </w:rPr>
        <w:t>עליו להתחשב בין היתר בסוג הנשק שבו מדובר</w:t>
      </w:r>
      <w:r>
        <w:rPr>
          <w:rtl w:val="true"/>
        </w:rPr>
        <w:t xml:space="preserve">, </w:t>
      </w:r>
      <w:r>
        <w:rPr>
          <w:rtl w:val="true"/>
        </w:rPr>
        <w:t>בתכליתו</w:t>
      </w:r>
      <w:r>
        <w:rPr>
          <w:rtl w:val="true"/>
        </w:rPr>
        <w:t xml:space="preserve">, </w:t>
      </w:r>
      <w:r>
        <w:rPr>
          <w:rtl w:val="true"/>
        </w:rPr>
        <w:t>ובסכנה המוחשית הנשקפת ממנו</w:t>
      </w:r>
      <w:r>
        <w:rPr>
          <w:rtl w:val="true"/>
        </w:rPr>
        <w:t xml:space="preserve">. </w:t>
      </w:r>
      <w:r>
        <w:rPr>
          <w:rtl w:val="true"/>
        </w:rPr>
        <w:t xml:space="preserve">כאשר מדובר בנשק שלפי טיבו הוא נשק התקפי ואינו נשק המיועד להגנה עצמית </w:t>
      </w:r>
      <w:r>
        <w:rPr>
          <w:rtl w:val="true"/>
        </w:rPr>
        <w:t>–</w:t>
      </w:r>
      <w:r>
        <w:rPr>
          <w:rtl w:val="true"/>
        </w:rPr>
        <w:t xml:space="preserve"> יש בכך חומרה מיוחדת</w:t>
      </w:r>
      <w:r>
        <w:rPr>
          <w:rtl w:val="true"/>
        </w:rPr>
        <w:t xml:space="preserve">. </w:t>
      </w:r>
      <w:r>
        <w:rPr>
          <w:rtl w:val="true"/>
        </w:rPr>
        <w:t>דברים אלה נאמרו לגבי העבירה של החזקת נשק</w:t>
      </w:r>
      <w:r>
        <w:rPr>
          <w:rtl w:val="true"/>
        </w:rPr>
        <w:t xml:space="preserve">, </w:t>
      </w:r>
      <w:r>
        <w:rPr>
          <w:rtl w:val="true"/>
        </w:rPr>
        <w:t>ומקל וחומר אמורים הדברים כאשר מדובר בשימוש אלים ומסוכן בנשק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הבערת מטען חבלה והשלכתו לעבר בית מגורים כפי שאירע במקרה זה</w:t>
      </w:r>
      <w:r>
        <w:rPr>
          <w:rtl w:val="true"/>
        </w:rPr>
        <w:t xml:space="preserve">. </w:t>
      </w:r>
      <w:r>
        <w:rPr>
          <w:rtl w:val="true"/>
        </w:rPr>
        <w:t>על הנאשם היה להצטייד במטען זה</w:t>
      </w:r>
      <w:r>
        <w:rPr>
          <w:rtl w:val="true"/>
        </w:rPr>
        <w:t xml:space="preserve">, </w:t>
      </w:r>
      <w:r>
        <w:rPr>
          <w:rtl w:val="true"/>
        </w:rPr>
        <w:t>ועל כן את הטענה כי מדובר במעשה אימפולסיבי גרידא יש לקבל עם קב של חומטין</w:t>
      </w:r>
      <w:r>
        <w:rPr>
          <w:rtl w:val="true"/>
        </w:rPr>
        <w:t xml:space="preserve">. </w:t>
      </w:r>
      <w:r>
        <w:rPr>
          <w:rtl w:val="true"/>
        </w:rPr>
        <w:t>מי שעושה מעשה כזה צפוי לעונש מאסר של שנים ארוכות בכליאה</w:t>
      </w:r>
      <w:r>
        <w:rPr>
          <w:rtl w:val="true"/>
        </w:rPr>
        <w:t xml:space="preserve">. </w:t>
      </w:r>
      <w:r>
        <w:rPr>
          <w:rtl w:val="true"/>
        </w:rPr>
        <w:t>לפיכך גם אין מקום לקבל את ההמלצה של שירות המבחן</w:t>
      </w:r>
      <w:r>
        <w:rPr>
          <w:rtl w:val="true"/>
        </w:rPr>
        <w:t xml:space="preserve">, </w:t>
      </w:r>
      <w:r>
        <w:rPr>
          <w:rtl w:val="true"/>
        </w:rPr>
        <w:t>אם כי התחשבנו בתוכנו של התסקיר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 שני</w:t>
      </w:r>
      <w:r>
        <w:rPr>
          <w:rtl w:val="true"/>
        </w:rPr>
        <w:t xml:space="preserve">, </w:t>
      </w:r>
      <w:r>
        <w:rPr>
          <w:rtl w:val="true"/>
        </w:rPr>
        <w:t>אין אנו יכולים להתעלם מנסיבות מקילות לא מעטות במקרה זה</w:t>
      </w:r>
      <w:r>
        <w:rPr>
          <w:rtl w:val="true"/>
        </w:rPr>
        <w:t xml:space="preserve">. </w:t>
      </w:r>
      <w:r>
        <w:rPr>
          <w:rtl w:val="true"/>
        </w:rPr>
        <w:t>נמנה נסיבות אלה</w:t>
      </w:r>
      <w:r>
        <w:rPr>
          <w:rtl w:val="true"/>
        </w:rPr>
        <w:t xml:space="preserve">: </w:t>
      </w:r>
      <w:r>
        <w:rPr>
          <w:rtl w:val="true"/>
        </w:rPr>
        <w:t>הנאשם הוא צעיר</w:t>
      </w:r>
      <w:r>
        <w:rPr>
          <w:rtl w:val="true"/>
        </w:rPr>
        <w:t xml:space="preserve">, </w:t>
      </w:r>
      <w:r>
        <w:rPr>
          <w:rtl w:val="true"/>
        </w:rPr>
        <w:t>ואין לו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הוא סובל מבעיות רפואיות </w:t>
      </w:r>
      <w:r>
        <w:rPr>
          <w:rtl w:val="true"/>
        </w:rPr>
        <w:t>(</w:t>
      </w:r>
      <w:r>
        <w:rPr>
          <w:rtl w:val="true"/>
        </w:rPr>
        <w:t>כפי שעולה מהתיעוד הרפואי</w:t>
      </w:r>
      <w:r>
        <w:rPr>
          <w:rtl w:val="true"/>
        </w:rPr>
        <w:t xml:space="preserve">). </w:t>
      </w:r>
      <w:r>
        <w:rPr>
          <w:rtl w:val="true"/>
        </w:rPr>
        <w:t>הוא הודה באשמה והביע צער על מעשיו</w:t>
      </w:r>
      <w:r>
        <w:rPr>
          <w:rtl w:val="true"/>
        </w:rPr>
        <w:t xml:space="preserve">. </w:t>
      </w:r>
      <w:r>
        <w:rPr>
          <w:rtl w:val="true"/>
        </w:rPr>
        <w:t>הודייתו חסכה בזמן שיפוטי וייתרה את העדת המתלונן שהוא קטין</w:t>
      </w:r>
      <w:r>
        <w:rPr>
          <w:rtl w:val="true"/>
        </w:rPr>
        <w:t xml:space="preserve">, </w:t>
      </w:r>
      <w:r>
        <w:rPr>
          <w:rtl w:val="true"/>
        </w:rPr>
        <w:t>כמו גם את העדת אחותו שנישאה לאחרונה</w:t>
      </w:r>
      <w:r>
        <w:rPr>
          <w:rtl w:val="true"/>
        </w:rPr>
        <w:t xml:space="preserve">. </w:t>
      </w:r>
      <w:r>
        <w:rPr>
          <w:rtl w:val="true"/>
        </w:rPr>
        <w:t>בין המשפחות נערך הסכם סולחה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 המאשימה אישר לאחר שיחה עם סבו של המתלונן כי קיימת רגיעה ביחסים שבין בני המשפחות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ציינו לעיל את החומרה הנודעת להצטיידות במטען חבלה ובשימוש בו</w:t>
      </w:r>
      <w:r>
        <w:rPr>
          <w:rtl w:val="true"/>
        </w:rPr>
        <w:t xml:space="preserve">. </w:t>
      </w:r>
      <w:r>
        <w:rPr>
          <w:rtl w:val="true"/>
        </w:rPr>
        <w:t>אנו ערים לכך שהמעשה לא היה מתוכנן זמן מראש אלא נעשה מבחינתו כתגובה לאלימות שהופעלה נגד אחיו הצעיר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להקל ראש במי שעושה דין לעצמו לשם פתרון סכסוך</w:t>
      </w:r>
      <w:r>
        <w:rPr>
          <w:rtl w:val="true"/>
        </w:rPr>
        <w:t xml:space="preserve">, </w:t>
      </w:r>
      <w:r>
        <w:rPr>
          <w:rtl w:val="true"/>
        </w:rPr>
        <w:t>ובוודאי כאשר מדובר בשימוש מסוכן בנשק התקפי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שעמדנו על היבטי הענישה השונים במקרה זה</w:t>
      </w:r>
      <w:r>
        <w:rPr>
          <w:rtl w:val="true"/>
        </w:rPr>
        <w:t xml:space="preserve">, </w:t>
      </w:r>
      <w:r>
        <w:rPr>
          <w:rtl w:val="true"/>
        </w:rPr>
        <w:t>הגענו למסקנות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אנו סבורים כי מן הראוי להתייחס בחומרה למקרה זה ולהטיל על הנאשם עונש מאסר ממשי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נראה לנו כי קיימים במקרה זה היבטים מקלים לא מעטים המאפשרים בהצטברותם למתן עונש 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לאור כל זאת החלטנו להטיל על הנאשם את העונשים הבאים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 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והנאשם לא יישא עונש זה אלא אם כן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 עבירת נשק מכל מין וסוג שהוא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 חייבנו את הנאשם בתשלום פיצויים</w:t>
      </w:r>
      <w:r>
        <w:rPr>
          <w:rtl w:val="true"/>
        </w:rPr>
        <w:t xml:space="preserve">, </w:t>
      </w:r>
      <w:r>
        <w:rPr>
          <w:rtl w:val="true"/>
        </w:rPr>
        <w:t>בהתחשב בעמדת משפחת אבו עמאר</w:t>
      </w:r>
      <w:r>
        <w:rPr>
          <w:rtl w:val="true"/>
        </w:rPr>
        <w:t xml:space="preserve">, </w:t>
      </w:r>
      <w:r>
        <w:rPr>
          <w:rtl w:val="true"/>
        </w:rPr>
        <w:t>ובהיעדר בקשה לעשות 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יתייצב לריצוי עונשו במזכירות בית המשפט המחוזי מרכז בפתח תקווה כשהוא מצויד בתעודת זהות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1.9.10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הערבויות שניתנו עד כה ישמשו להבטחת התייצבותו של הנאשם לריצוי 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מנחם פינקלשטיין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ניתן והודע היום ח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אב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19/07/2010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06"/>
        <w:gridCol w:w="3137"/>
        <w:gridCol w:w="3817"/>
      </w:tblGrid>
      <w:tr>
        <w:trPr/>
        <w:tc>
          <w:tcPr>
            <w:tcW w:w="330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137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817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מנחם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פינקלשטיין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אב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</w:p>
        </w:tc>
        <w:tc>
          <w:tcPr>
            <w:tcW w:w="3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ליאורה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ברודי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עופר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גרוסקופף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8" w:name="LastJudge"/>
      <w:bookmarkEnd w:id="18"/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/Users/liorb/Downloads/study2025-p2/ME-09-12-28761-579.doc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28761-12-09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נביל אלשמאלי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351923" TargetMode="External"/><Relationship Id="rId3" Type="http://schemas.openxmlformats.org/officeDocument/2006/relationships/hyperlink" Target="http://www.nevo.co.il/case/5351923" TargetMode="External"/><Relationship Id="rId4" Type="http://schemas.openxmlformats.org/officeDocument/2006/relationships/hyperlink" Target="http://www.nevo.co.il/case/5351923" TargetMode="External"/><Relationship Id="rId5" Type="http://schemas.openxmlformats.org/officeDocument/2006/relationships/hyperlink" Target="http://www.nevo.co.il/case/6054752" TargetMode="External"/><Relationship Id="rId6" Type="http://schemas.openxmlformats.org/officeDocument/2006/relationships/hyperlink" Target="http://www.nevo.co.il/case/5351923" TargetMode="External"/><Relationship Id="rId7" Type="http://schemas.openxmlformats.org/officeDocument/2006/relationships/hyperlink" Target="http://www.nevo.co.il/case/5351923" TargetMode="External"/><Relationship Id="rId8" Type="http://schemas.openxmlformats.org/officeDocument/2006/relationships/hyperlink" Target="http://www.nevo.co.il/case/5351923" TargetMode="External"/><Relationship Id="rId9" Type="http://schemas.openxmlformats.org/officeDocument/2006/relationships/hyperlink" Target="http://www.nevo.co.il/case/6054752" TargetMode="External"/><Relationship Id="rId10" Type="http://schemas.openxmlformats.org/officeDocument/2006/relationships/hyperlink" Target="http://www.nevo.co.il/case/6054752" TargetMode="External"/><Relationship Id="rId11" Type="http://schemas.openxmlformats.org/officeDocument/2006/relationships/hyperlink" Target="http://www.nevo.co.il/case/5351923" TargetMode="External"/><Relationship Id="rId12" Type="http://schemas.openxmlformats.org/officeDocument/2006/relationships/hyperlink" Target="http://www.nevo.co.il/case/5351923" TargetMode="External"/><Relationship Id="rId13" Type="http://schemas.openxmlformats.org/officeDocument/2006/relationships/hyperlink" Target="http://www.nevo.co.il/case/5351923" TargetMode="External"/><Relationship Id="rId14" Type="http://schemas.openxmlformats.org/officeDocument/2006/relationships/hyperlink" Target="http://www.nevo.co.il/case/6054752" TargetMode="External"/><Relationship Id="rId15" Type="http://schemas.openxmlformats.org/officeDocument/2006/relationships/hyperlink" Target="http://www.nevo.co.il/case/6054752" TargetMode="External"/><Relationship Id="rId16" Type="http://schemas.openxmlformats.org/officeDocument/2006/relationships/hyperlink" Target="http://www.nevo.co.il/case/605475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2016-02-08T11:48:00Z</dcterms:created>
  <dc:creator> </dc:creator>
  <dc:description/>
  <cp:keywords/>
  <dc:language>en-IL</dc:language>
  <cp:lastModifiedBy>hofit</cp:lastModifiedBy>
  <dcterms:modified xsi:type="dcterms:W3CDTF">2016-02-08T11:48:00Z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נביל אלשמאלי</vt:lpwstr>
  </property>
  <property fmtid="{D5CDD505-2E9C-101B-9397-08002B2CF9AE}" pid="4" name="CASESLISTTMP1">
    <vt:lpwstr>5351923:9;6054752:6</vt:lpwstr>
  </property>
  <property fmtid="{D5CDD505-2E9C-101B-9397-08002B2CF9AE}" pid="5" name="CITY">
    <vt:lpwstr>מרכז</vt:lpwstr>
  </property>
  <property fmtid="{D5CDD505-2E9C-101B-9397-08002B2CF9AE}" pid="6" name="DATE">
    <vt:lpwstr>20100719</vt:lpwstr>
  </property>
  <property fmtid="{D5CDD505-2E9C-101B-9397-08002B2CF9AE}" pid="7" name="ISABSTRACT">
    <vt:lpwstr>Y</vt:lpwstr>
  </property>
  <property fmtid="{D5CDD505-2E9C-101B-9397-08002B2CF9AE}" pid="8" name="JUDGE">
    <vt:lpwstr>מנחם פינקלשטיין;ליאורה ברודי;עופר גרוסקופף</vt:lpwstr>
  </property>
  <property fmtid="{D5CDD505-2E9C-101B-9397-08002B2CF9AE}" pid="9" name="LAWLISTTMP1">
    <vt:lpwstr>70301</vt:lpwstr>
  </property>
  <property fmtid="{D5CDD505-2E9C-101B-9397-08002B2CF9AE}" pid="10" name="LAWYER">
    <vt:lpwstr>רועי פרי;אבי כהן</vt:lpwstr>
  </property>
  <property fmtid="{D5CDD505-2E9C-101B-9397-08002B2CF9AE}" pid="11" name="LINKK1">
    <vt:lpwstr>http://www.nevo.co.il/Psika_word/mechozi/ME-09-12-28761-938.doc;להחלטה במחוזי (19-01-2010)#תפח 28761-12-09 מדינת ישראל נ' נביל אלשמאלי #שופטים: מנחם פינקלשטיין, ליאורה ברודי, עופר גרוסקופף#עו''ד: קובי מושקוביץ</vt:lpwstr>
  </property>
  <property fmtid="{D5CDD505-2E9C-101B-9397-08002B2CF9AE}" pid="12" name="LINKK10">
    <vt:lpwstr>http://www.nevo.co.il/Psika_word/mechozi/ME-09-12-28761-938.doc;להחלטה במחוזי (19-01-2010)#תפח 28761-12-09 מדינת ישראל נ' נביל אלשמאלי #שופטים: מנחם פינקלשטיין, ליאורה ברודי, עופר גרוסקופף#עו''ד: קובי מושקוביץ</vt:lpwstr>
  </property>
  <property fmtid="{D5CDD505-2E9C-101B-9397-08002B2CF9AE}" pid="13" name="LINKK11">
    <vt:lpwstr>http://www.nevo.co.il/Psika_word/mechozi/ME-09-12-28761-148.doc;להחלטה במחוזי (24-02-2010)#תפח 28761-12-09 מדינת ישראל נ' נביל אלשמאלי#שופטים: מנחם פינקלשטיין , ליאורה ברודי, עופר גרוסקופף#עו''ד: אלון טנקג'י, אבי כהן</vt:lpwstr>
  </property>
  <property fmtid="{D5CDD505-2E9C-101B-9397-08002B2CF9AE}" pid="14" name="LINKK12">
    <vt:lpwstr>http://www.nevo.co.il/Psika_word/mechozi/ME-09-12-28761-408.doc;לגזר-דין במחוזי (19-07-2010)#תפח 28761-12-09 מדינת ישראל נ' נביל אלשמאלי#שופטים: מנחם פינקלשטיין, ליאורה ברודי, עופר גרוסקופף#עו''ד: רועי פרי, אבי כהן</vt:lpwstr>
  </property>
  <property fmtid="{D5CDD505-2E9C-101B-9397-08002B2CF9AE}" pid="15" name="LINKK2">
    <vt:lpwstr>http://www.nevo.co.il/Psika_word/mechozi/ME-09-12-28761-148.doc;להחלטה במחוזי (24-02-2010)#תפח 28761-12-09 מדינת ישראל נ' נביל אלשמאלי#שופטים: מנחם פינקלשטיין , ליאורה ברודי, עופר גרוסקופף#עו''ד: אלון טנקג'י, אבי כהן</vt:lpwstr>
  </property>
  <property fmtid="{D5CDD505-2E9C-101B-9397-08002B2CF9AE}" pid="16" name="LINKK3">
    <vt:lpwstr>http://www.nevo.co.il/Psika_word/mechozi/ME-09-12-28761-408.doc;לגזר-דין במחוזי (19-07-2010)#תפח 28761-12-09 מדינת ישראל נ' נביל אלשמאלי#שופטים: מנחם פינקלשטיין, ליאורה ברודי, עופר גרוסקופף#עו''ד: רועי פרי, אבי כהן</vt:lpwstr>
  </property>
  <property fmtid="{D5CDD505-2E9C-101B-9397-08002B2CF9AE}" pid="17" name="LINKK4">
    <vt:lpwstr>http://www.nevo.co.il/Psika_word/elyon/10062190-s02.doc;להחלטה בעליון (30-08-2010)#עפ 6219/10 נביל אלשמאלי נ' מדינת ישראל#שופטים: א' גרוניס#עו''ד: רחל זוארץ לוי, אלעד רט</vt:lpwstr>
  </property>
  <property fmtid="{D5CDD505-2E9C-101B-9397-08002B2CF9AE}" pid="18" name="LINKK5">
    <vt:lpwstr>http://www.nevo.co.il/Psika_word/mechozi/ME-09-12-28761-938.doc;להחלטה במחוזי (19-01-2010)#תפח 28761-12-09 מדינת ישראל נ' נביל אלשמאלי #שופטים: מנחם פינקלשטיין, ליאורה ברודי, עופר גרוסקופף#עו''ד: קובי מושקוביץ</vt:lpwstr>
  </property>
  <property fmtid="{D5CDD505-2E9C-101B-9397-08002B2CF9AE}" pid="19" name="LINKK6">
    <vt:lpwstr>http://www.nevo.co.il/Psika_word/mechozi/ME-09-12-28761-148.doc;להחלטה במחוזי (24-02-2010)#תפח 28761-12-09 מדינת ישראל נ' נביל אלשמאלי#שופטים: מנחם פינקלשטיין , ליאורה ברודי, עופר גרוסקופף#עו''ד: אלון טנקג'י, אבי כהן</vt:lpwstr>
  </property>
  <property fmtid="{D5CDD505-2E9C-101B-9397-08002B2CF9AE}" pid="20" name="LINKK7">
    <vt:lpwstr>http://www.nevo.co.il/Psika_word/mechozi/ME-09-12-28761-408.doc;לגזר-דין במחוזי (19-07-2010)#תפח 28761-12-09 מדינת ישראל נ' נביל אלשמאלי#שופטים: מנחם פינקלשטיין, ליאורה ברודי, עופר גרוסקופף#עו''ד: רועי פרי, אבי כהן</vt:lpwstr>
  </property>
  <property fmtid="{D5CDD505-2E9C-101B-9397-08002B2CF9AE}" pid="21" name="LINKK8">
    <vt:lpwstr>http://www.nevo.co.il/Psika_word/elyon/10062190-s02.doc;להחלטה בעליון (30-08-2010)#עפ 6219/10 נביל אלשמאלי נ' מדינת ישראל#שופטים: א' גרוניס#עו''ד: רחל זוארץ לוי, אלעד רט</vt:lpwstr>
  </property>
  <property fmtid="{D5CDD505-2E9C-101B-9397-08002B2CF9AE}" pid="22" name="LINKK9">
    <vt:lpwstr>http://www.nevo.co.il/Psika_word/elyon/10062190-b04.doc;להחלטה בעליון (09-02-2011)#עפ 6219/10 נביל אלשמאלי נ' מדינת ישראל#שופטים: ע' ארבל, ח' מלצר, י' דנציגר#עו''ד: א' גורדון, א' רט</vt:lpwstr>
  </property>
  <property fmtid="{D5CDD505-2E9C-101B-9397-08002B2CF9AE}" pid="23" name="NEWPARTA">
    <vt:lpwstr>28761</vt:lpwstr>
  </property>
  <property fmtid="{D5CDD505-2E9C-101B-9397-08002B2CF9AE}" pid="24" name="NEWPARTB">
    <vt:lpwstr>12</vt:lpwstr>
  </property>
  <property fmtid="{D5CDD505-2E9C-101B-9397-08002B2CF9AE}" pid="25" name="NEWPARTC">
    <vt:lpwstr>09</vt:lpwstr>
  </property>
  <property fmtid="{D5CDD505-2E9C-101B-9397-08002B2CF9AE}" pid="26" name="NEWPROC">
    <vt:lpwstr>תפח</vt:lpwstr>
  </property>
  <property fmtid="{D5CDD505-2E9C-101B-9397-08002B2CF9AE}" pid="27" name="PSAKDIN">
    <vt:lpwstr>גזר-דין</vt:lpwstr>
  </property>
  <property fmtid="{D5CDD505-2E9C-101B-9397-08002B2CF9AE}" pid="28" name="RemarkFileName">
    <vt:lpwstr>mechozi me 09 12 28761 579 htm</vt:lpwstr>
  </property>
  <property fmtid="{D5CDD505-2E9C-101B-9397-08002B2CF9AE}" pid="29" name="TYPE">
    <vt:lpwstr>2</vt:lpwstr>
  </property>
  <property fmtid="{D5CDD505-2E9C-101B-9397-08002B2CF9AE}" pid="30" name="TYPE_ABS_DATE">
    <vt:lpwstr>390020100719</vt:lpwstr>
  </property>
  <property fmtid="{D5CDD505-2E9C-101B-9397-08002B2CF9AE}" pid="31" name="TYPE_N_DATE">
    <vt:lpwstr>39020100719</vt:lpwstr>
  </property>
  <property fmtid="{D5CDD505-2E9C-101B-9397-08002B2CF9AE}" pid="32" name="WORDNUMPAGES">
    <vt:lpwstr>4</vt:lpwstr>
  </property>
</Properties>
</file>