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29077-12-10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סבאענה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505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סגן נשיא 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אלרון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גלעד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אליקים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עדנאן סבאענה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301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מבוא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12">
        <w:r>
          <w:rPr>
            <w:rStyle w:val="Hyperlink"/>
            <w:color w:val="0000FF"/>
            <w:u w:val="single"/>
          </w:rPr>
          <w:t>301</w:t>
        </w:r>
      </w:hyperlink>
      <w:r>
        <w:rPr>
          <w:rtl w:val="true"/>
        </w:rPr>
        <w:t xml:space="preserve"> </w:t>
      </w:r>
      <w:r>
        <w:rPr>
          <w:rtl w:val="true"/>
        </w:rPr>
        <w:t>ו–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+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המנוחים</w:t>
      </w:r>
      <w:r>
        <w:rPr>
          <w:rtl w:val="true"/>
        </w:rPr>
        <w:t xml:space="preserve">"),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בשניהם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אעבלין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מוחסיין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500</w:t>
      </w:r>
      <w:r>
        <w:rPr>
          <w:rtl w:val="true"/>
        </w:rPr>
        <w:t xml:space="preserve"> ₪,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מוחסיין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tl w:val="true"/>
        </w:rPr>
        <w:t>, "</w:t>
      </w:r>
      <w:r>
        <w:rPr>
          <w:rFonts w:cs="Miriam"/>
          <w:rtl w:val="true"/>
        </w:rPr>
        <w:t>נקלע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בהפנותו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4063/93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רחמנוב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5.7.1995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52</w:t>
      </w:r>
      <w:r>
        <w:rPr>
          <w:rtl w:val="true"/>
        </w:rPr>
        <w:t xml:space="preserve">),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דיון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המזהים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סאלם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נקלע</w:t>
      </w:r>
      <w:r>
        <w:rPr>
          <w:rtl w:val="true"/>
        </w:rPr>
        <w:t xml:space="preserve">" </w:t>
      </w:r>
      <w:r>
        <w:rPr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משנגזר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המעשה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65" w:end="108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  <w:t>"</w:t>
      </w:r>
      <w:r>
        <w:rPr>
          <w:rFonts w:cs="Miriam" w:ascii="Arial" w:hAnsi="Arial"/>
        </w:rPr>
        <w:t>186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רשאי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להרשיע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שאשמתו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נתגלתה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העובדות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שהוכחו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לפניו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אך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יענישנו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יותר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מפעם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מעשה</w:t>
      </w:r>
      <w:r>
        <w:rPr>
          <w:rFonts w:cs="Miriam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פרשנותו של המונח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אותו מעשה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נידונה בפסיקה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נקבעו שלושה מבחני עזר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מבחן צורני 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עובדתי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מבחן מהותי מוסרי ושיקוף ההרתעה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hyperlink r:id="rId2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1742/91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פופר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מדינת ישראל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נא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289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1997</w:t>
      </w:r>
      <w:r>
        <w:rPr>
          <w:rFonts w:cs="Arial" w:ascii="Arial" w:hAnsi="Arial"/>
          <w:rtl w:val="true"/>
        </w:rPr>
        <w:t xml:space="preserve">); </w:t>
      </w:r>
      <w:hyperlink r:id="rId2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9804/02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, </w:t>
      </w:r>
      <w:r>
        <w:rPr/>
        <w:t>21.4.04</w:t>
      </w:r>
      <w:r>
        <w:rPr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קדמי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הדין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בפלילים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 xml:space="preserve">- </w:t>
      </w:r>
      <w:r>
        <w:rPr>
          <w:b/>
          <w:b/>
          <w:bCs/>
          <w:color w:val="000000"/>
          <w:rtl w:val="true"/>
        </w:rPr>
        <w:t>הדין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בראי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ומעודכנת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), </w:t>
      </w:r>
      <w:r>
        <w:rPr/>
        <w:t>1203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ascii="Arial" w:hAnsi="Arial" w:cs="Arial"/>
          <w:rtl w:val="true"/>
        </w:rPr>
        <w:t xml:space="preserve">מן המבחן הצורני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עובדתי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בפעולות פיזיות נפרדות שהביאו למות כל אחד מהמנוחים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בפעולות עוקבות אשר בוצעו ברצף אך ניתן לפצל את פעולת הירי ביחס לכל אחד מהמנוחים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שאף עלה בפנינו בעדותו של עד הראיה אלבזור באשר לאופן והדרך בה נורו שני המנוחים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דורנר התייחסה בפרשת </w:t>
      </w:r>
      <w:r>
        <w:rPr>
          <w:rFonts w:ascii="Arial" w:hAnsi="Arial" w:cs="Arial"/>
          <w:b/>
          <w:b/>
          <w:bCs/>
          <w:rtl w:val="true"/>
        </w:rPr>
        <w:t>פופר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למבחן המוסרי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מהותי באופן הבא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65" w:end="1080"/>
        <w:jc w:val="both"/>
        <w:rPr>
          <w:rFonts w:ascii="Arial" w:hAnsi="Arial"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לריבוי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נפרדים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 w:ascii="Arial" w:hAnsi="Arial"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פופר</w:t>
      </w:r>
      <w:r>
        <w:rPr>
          <w:rFonts w:ascii="Arial" w:hAnsi="Arial" w:cs="Arial"/>
          <w:rtl w:val="true"/>
        </w:rPr>
        <w:t xml:space="preserve">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302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כך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תוצאתם הטרגית של מעשי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שהובילו למותם של</w:t>
      </w:r>
      <w:r>
        <w:rPr>
          <w:rFonts w:ascii="Arial" w:hAnsi="Arial" w:cs="Arial"/>
          <w:u w:val="single"/>
          <w:rtl w:val="true"/>
        </w:rPr>
        <w:t xml:space="preserve"> שני</w:t>
      </w:r>
      <w:r>
        <w:rPr>
          <w:rFonts w:ascii="Arial" w:hAnsi="Arial" w:cs="Arial"/>
          <w:rtl w:val="true"/>
        </w:rPr>
        <w:t xml:space="preserve"> קורבנות מעידה אף היא על כך שמעשיו אינם חלק 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אותו מעשה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האינטרס שעמד בבסיס קטילתו של כל אחד מן המנוחים היה שונה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בעוד שאת המנוח פארס רצח הנאשם כתוצאה מסכסוך שהיה קיים ביניהם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שאת המנוח סאלם רצח עקב היקלעו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הנראה על מנת לא להשאיר עקבות ולמנוע את זיהויו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לעניין שיקול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שיקוף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ההרתעה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נאמר כעת רק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שיקול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מן הראוי כי עונשו של מי שגדע חייהם של שני בני אדם יגלם את המחיר הכבד ששילמו הקרבנות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הינו כבד מן המחיר של קרבן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הוא כשלעצמו כבד מנשוא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נתייחס בהרחבה בהמשך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בקובענו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נקודת המוצא היא כי הנאשם ביצע שני מעשי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אינם חלק מ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מעשה</w:t>
      </w:r>
      <w:r>
        <w:rPr>
          <w:rFonts w:cs="Miriam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נפנה לבחינת הענישה הראויה במקרה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קובע לאמור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945" w:end="108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  <w:t>"</w:t>
      </w:r>
      <w:r>
        <w:rPr>
          <w:rFonts w:cs="Miriam" w:ascii="Arial" w:hAnsi="Arial"/>
        </w:rPr>
        <w:t>45</w:t>
      </w:r>
      <w:r>
        <w:rPr>
          <w:rFonts w:cs="Miriam" w:ascii="Arial" w:hAnsi="Arial"/>
          <w:rtl w:val="true"/>
        </w:rPr>
        <w:t>.(</w:t>
      </w:r>
      <w:r>
        <w:rPr>
          <w:rFonts w:ascii="Arial" w:hAnsi="Arial" w:cs="Miriam"/>
          <w:rtl w:val="true"/>
        </w:rPr>
        <w:t>א</w:t>
      </w:r>
      <w:r>
        <w:rPr>
          <w:rFonts w:cs="Miriam" w:ascii="Arial" w:hAnsi="Arial"/>
          <w:rtl w:val="true"/>
        </w:rPr>
        <w:t xml:space="preserve">) </w:t>
      </w:r>
      <w:r>
        <w:rPr>
          <w:rFonts w:ascii="Arial" w:hAnsi="Arial" w:cs="Miriam"/>
          <w:rtl w:val="true"/>
        </w:rPr>
        <w:t>מי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שנידון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לעונשי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שונות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ולא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בית</w:t>
      </w:r>
      <w:r>
        <w:rPr>
          <w:rFonts w:cs="Miriam" w:ascii="Arial" w:hAnsi="Arial"/>
          <w:rtl w:val="true"/>
        </w:rPr>
        <w:t>-</w:t>
      </w:r>
      <w:r>
        <w:rPr>
          <w:rFonts w:ascii="Arial" w:hAnsi="Arial" w:cs="Miriam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שישאם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כולם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מקצתם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בזה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התקופה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הארוכה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ביותר</w:t>
      </w:r>
      <w:r>
        <w:rPr>
          <w:rFonts w:cs="Miriam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הלכה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בית המשפט רשאי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מסוימות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להורות על הצטברות עונשי מאסר בנוסף לעונש מאסר עולם וכן על ריצוי מספר מאסרי עולם במצטבר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למשל </w:t>
      </w:r>
      <w:hyperlink r:id="rId2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9059/03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יוסבשוילי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, </w:t>
      </w:r>
      <w:r>
        <w:rPr/>
        <w:t>21.3.2007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ascii="Arial" w:hAnsi="Arial" w:cs="Arial"/>
            <w:color w:val="0000FF"/>
            <w:u w:val="single"/>
          </w:rPr>
          <w:t>‎</w:t>
        </w:r>
        <w:r>
          <w:rPr>
            <w:rStyle w:val="Hyperlink"/>
            <w:rFonts w:cs="Arial" w:ascii="Arial" w:hAnsi="Arial"/>
            <w:color w:val="0000FF"/>
            <w:u w:val="single"/>
          </w:rPr>
          <w:t>35/89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לוגסי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מדינת 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מו</w:t>
      </w:r>
      <w:r>
        <w:rPr>
          <w:rFonts w:cs="Arial" w:ascii="Arial" w:hAnsi="Arial"/>
          <w:rtl w:val="true"/>
        </w:rPr>
        <w:t>(</w:t>
      </w:r>
      <w:r>
        <w:rPr>
          <w:rFonts w:cs="Times New Roman"/>
        </w:rPr>
        <w:t>‎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 xml:space="preserve">235, </w:t>
      </w:r>
      <w:r>
        <w:rPr>
          <w:rFonts w:cs="Times New Roman"/>
        </w:rPr>
        <w:t>‎</w:t>
      </w:r>
      <w:r>
        <w:rPr>
          <w:rFonts w:cs="Arial" w:ascii="Arial" w:hAnsi="Arial"/>
        </w:rPr>
        <w:t>256 (1992)</w:t>
      </w:r>
      <w:r>
        <w:rPr>
          <w:rFonts w:cs="Arial" w:ascii="Arial" w:hAnsi="Arial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יוסבשוילי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חזר ואישר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הנשיאה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בייניש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ההלכה האמורה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 הדגשת הטעמים 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הטעמים לאמור מצוי הנוהג שהתפתח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 ניתן לקצוב גם עונשי מאסר על מי שהוטל עליו עונש מאסר חובה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טעם נוסף מצוי בהגנה על ערך חיי האדם ובשיקולי גמול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מניעה והרתעה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65" w:end="1080"/>
        <w:jc w:val="both"/>
        <w:rPr>
          <w:rFonts w:ascii="Arial" w:hAnsi="Arial" w:cs="Arial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מסוימים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רצח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יוסבשוילי</w:t>
      </w:r>
      <w:r>
        <w:rPr>
          <w:rFonts w:ascii="Arial" w:hAnsi="Arial" w:cs="Arial"/>
          <w:rtl w:val="true"/>
        </w:rPr>
        <w:t xml:space="preserve">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65" w:end="108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spacing w:val="10"/>
          <w:lang w:eastAsia="he-IL"/>
        </w:rPr>
      </w:pPr>
      <w:r>
        <w:rPr>
          <w:rFonts w:ascii="Arial" w:hAnsi="Arial" w:cs="Arial"/>
          <w:rtl w:val="true"/>
        </w:rPr>
        <w:t>אנו סבורים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מכלול השיקולים אשר הוכרו בפסיקה כשיקולים מנחים לסוגיה שבנידון מוביל למסקנה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במצטבר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בהן הורשע הנאשם הן מן החמורות אשר בספר החוקים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בשני מעשי רצח ובקטילת שני בני אדם צעירים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נסיבות ביצוע העבירות מטות את הכף לחובתו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תכנן את מעשיו בקפידה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בקור רוח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הפתיע את המנוחים בדרכם למקום עבודתם ונטל חייהם באחת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גם עולה מן 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בגין ביצוע מספר עבירות רצח על ידי נאשם אחד ייגזר דינו למספר עונשי מאסר לריצוי במצטבר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945" w:end="108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וסלידתנו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הצטברותם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כשלעצמו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להתפרש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כהחלשה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שכן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יעצור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מלהרבות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קורבנותיו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Miriam"/>
          <w:rtl w:val="true"/>
        </w:rPr>
        <w:t xml:space="preserve">?"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302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נוסף על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לזקוף לחובתו של הנאשם גם את התנהלותו לאורך ההליך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בחר להכחיש את המיוחס לו בכתב האישום ולנהל הליך הוכחות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כשהמשיך לדבוק בהכחשתו לכל אורכו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הכחשתו העקבית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גרסאותיו של הנאשם פחות עקביות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וכפי שפורט בהרחבה בהכרעת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בחל הנאשם בשקרים על מנת לנסות ולהרחיק עצמו מן המיוחס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ודאי שלא הביע צער או חרטה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דבר הנזקף גם הוא לחובתו בעניין זה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למשל יוסבשוילי פס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לזכור כי הנאשם קטל חייהם של שני בני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וכפי שהובע בפסיקה לא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גם לכך את הדעת במסגרת  שיקולי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היטיב לבטא זאת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הנשיא 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שמגר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945" w:end="1080"/>
        <w:jc w:val="both"/>
        <w:rPr>
          <w:rFonts w:ascii="Arial" w:hAnsi="Arial" w:cs="Arial"/>
        </w:rPr>
      </w:pP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גזירת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עונשי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חופפים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רצח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מדובר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בכאלה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שבוצעו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ברצף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מכללא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מיזעור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הזוועה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שבגרם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המוות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הזדוני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והמכוון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אנשים</w:t>
      </w:r>
      <w:r>
        <w:rPr>
          <w:rFonts w:cs="Miriam" w:ascii="Arial" w:hAnsi="Arial"/>
          <w:rtl w:val="true"/>
        </w:rPr>
        <w:t>...</w:t>
      </w:r>
      <w:r>
        <w:rPr>
          <w:rFonts w:ascii="Arial" w:hAnsi="Arial" w:cs="Miriam"/>
          <w:rtl w:val="true"/>
        </w:rPr>
        <w:t>האמונה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בקדושת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חייבת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למצוא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ביטויה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עבריין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ובהדגשת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משמעותו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קיפוח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בעינינו</w:t>
      </w:r>
      <w:r>
        <w:rPr>
          <w:rFonts w:cs="Miriam" w:ascii="Arial" w:hAnsi="Arial"/>
          <w:rtl w:val="true"/>
        </w:rPr>
        <w:t xml:space="preserve">. </w:t>
      </w:r>
      <w:r>
        <w:rPr>
          <w:rFonts w:cs="Miriam"/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ההשקפה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Miriam" w:ascii="Arial" w:hAnsi="Arial"/>
          <w:rtl w:val="true"/>
        </w:rPr>
        <w:t>..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לגזור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נפרד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עבירה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אלא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פגיעה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נפרדים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בחיי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צריכים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למצוא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ביטויים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בעונשים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המצטברים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לזה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2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399/89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מדינת ישראל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זלום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מו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187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1992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מוחסיין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עיזבון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₪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10/11/10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סיון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2012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נשיא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 xml:space="preserve">, </w:t>
            </w: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גלעד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אליקים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>
          <w:color w:val="000000"/>
          <w:sz w:val="18"/>
          <w:szCs w:val="18"/>
        </w:rPr>
      </w:pPr>
      <w:r>
        <w:rPr>
          <w:sz w:val="18"/>
          <w:sz w:val="18"/>
          <w:szCs w:val="18"/>
          <w:rtl w:val="true"/>
        </w:rPr>
        <w:t>אתי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עטיאס</w:t>
      </w:r>
    </w:p>
    <w:p>
      <w:pPr>
        <w:pStyle w:val="Normal"/>
        <w:spacing w:lineRule="auto" w:line="360"/>
        <w:ind w:end="0"/>
        <w:jc w:val="start"/>
        <w:rPr>
          <w:sz w:val="18"/>
          <w:szCs w:val="18"/>
        </w:rPr>
      </w:pPr>
      <w:r>
        <w:rPr>
          <w:color w:val="000000"/>
          <w:sz w:val="18"/>
          <w:sz w:val="18"/>
          <w:szCs w:val="18"/>
          <w:rtl w:val="true"/>
        </w:rPr>
        <w:t>נוסח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מסמך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זה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כפוף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לשינויי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ניסוח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ועריכה</w:t>
      </w:r>
    </w:p>
    <w:p>
      <w:pPr>
        <w:pStyle w:val="Normal"/>
        <w:spacing w:lineRule="auto" w:line="360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0000FF"/>
          <w:sz w:val="18"/>
          <w:u w:val="single"/>
        </w:rPr>
      </w:pPr>
      <w:r>
        <w:rPr>
          <w:color w:val="000000"/>
          <w:sz w:val="18"/>
          <w:sz w:val="18"/>
          <w:rtl w:val="true"/>
        </w:rPr>
        <w:t>בעניין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עריכה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ושינויים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במסמכי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פסיקה</w:t>
      </w:r>
      <w:r>
        <w:rPr>
          <w:color w:val="000000"/>
          <w:sz w:val="18"/>
          <w:rtl w:val="true"/>
        </w:rPr>
        <w:t xml:space="preserve">, </w:t>
      </w:r>
      <w:r>
        <w:rPr>
          <w:color w:val="000000"/>
          <w:sz w:val="18"/>
          <w:sz w:val="18"/>
          <w:rtl w:val="true"/>
        </w:rPr>
        <w:t>חקיקה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ועוד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באתר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נבו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–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הקש</w:t>
      </w:r>
      <w:r>
        <w:rPr>
          <w:rFonts w:cs="Times New Roman"/>
          <w:color w:val="000000"/>
          <w:sz w:val="18"/>
          <w:sz w:val="18"/>
          <w:rtl w:val="true"/>
        </w:rPr>
        <w:t xml:space="preserve"> </w:t>
      </w:r>
      <w:r>
        <w:rPr>
          <w:color w:val="000000"/>
          <w:sz w:val="18"/>
          <w:sz w:val="18"/>
          <w:rtl w:val="true"/>
        </w:rPr>
        <w:t>כאן</w:t>
      </w:r>
    </w:p>
    <w:p>
      <w:pPr>
        <w:pStyle w:val="Normal"/>
        <w:spacing w:lineRule="auto" w:line="360"/>
        <w:ind w:end="0"/>
        <w:jc w:val="center"/>
        <w:rPr>
          <w:color w:val="0000FF"/>
          <w:sz w:val="18"/>
          <w:u w:val="single"/>
        </w:rPr>
      </w:pPr>
      <w:r>
        <w:rPr>
          <w:color w:val="0000FF"/>
          <w:sz w:val="18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29077-12-10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עדנאן סבאענה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189666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9189666&lt;/CaseID&gt;&#10;        &lt;CaseMonth&gt;12&lt;/CaseMonth&gt;&#10;        &lt;CaseYear&gt;2010&lt;/CaseYear&gt;&#10;        &lt;CaseNumber&gt;29077&lt;/CaseNumber&gt;&#10;        &lt;NumeratorGroupID&gt;1&lt;/NumeratorGroupID&gt;&#10;        &lt;CaseName&gt;îãéðú éùøàì ð' ñáàòðä(òöéø)&lt;/CaseName&gt;&#10;        &lt;CourtID&gt;13&lt;/CourtID&gt;&#10;        &lt;CaseTypeID&gt;10077&lt;/CaseTypeID&gt;&#10;        &lt;CaseJudgeName&gt;éåñó àìøåï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9077-12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50&lt;/CaseNextDeterminingTask&gt;&#10;        &lt;CaseOpenDate&gt;2010-12-20T08:42:00.0000000+02:00&lt;/CaseOpenDate&gt;&#10;        &lt;PleaTypeID&gt;8&lt;/PleaTypeID&gt;&#10;        &lt;CourtLevelID&gt;2&lt;/CourtLevelID&gt;&#10;        &lt;CaseJudgeFirstName&gt;éåñó&lt;/CaseJudgeFirstName&gt;&#10;        &lt;CaseJudgeLastName&gt;àìøåï &lt;/CaseJudgeLastName&gt;&#10;        &lt;JudicalPersonID&gt;053565529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CaseDesc&gt;æåîï îúåøâîï ìéåí 3.4.12.øá÷ä&lt;/CaseDesc&gt;&#10;        &lt;isExistMinorSide&gt;false&lt;/isExistMinorSide&gt;&#10;        &lt;isExistMinorWitness&gt;false&lt;/isExistMinorWitness&gt;&#10;        &lt;ArchivingActivityID&gt;2&lt;/ArchivingActivityID&gt;&#10;        &lt;GettingReasonID&gt;2&lt;/GettingReasonID&gt;&#10;        &lt;IsDecisionTypeZaveElyon&gt;false&lt;/IsDecisionTypeZaveElyon&gt;&#10;        &lt;IsExistPrisoner&gt;true&lt;/IsExistPrisoner&gt;&#10;        &lt;IsExistDetainee&gt;true&lt;/IsExistDetainee&gt;&#10;        &lt;IsDebitExist&gt;false&lt;/IsDebitExist&gt;&#10;        &lt;DebitExsitDate&gt;2012-06-10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9189666&lt;/CaseID&gt;&#10;        &lt;CaseMonth&gt;12&lt;/CaseMonth&gt;&#10;        &lt;CaseYear&gt;2010&lt;/CaseYear&gt;&#10;        &lt;CaseNumber&gt;29077&lt;/CaseNumber&gt;&#10;        &lt;NumeratorGroupID&gt;1&lt;/NumeratorGroupID&gt;&#10;        &lt;CaseName&gt;îãéðú éùøàì ð' ñáàòðä(òöéø)&lt;/CaseName&gt;&#10;        &lt;CourtID&gt;13&lt;/CourtID&gt;&#10;        &lt;CaseTypeID&gt;10077&lt;/CaseTypeID&gt;&#10;        &lt;CaseJudgeName&gt;éåñó àìøåï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9077-12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50&lt;/CaseNextDeterminingTask&gt;&#10;        &lt;CaseOpenDate&gt;2010-12-20T08:42:00.0000000+02:00&lt;/CaseOpenDate&gt;&#10;        &lt;PleaTypeID&gt;8&lt;/PleaTypeID&gt;&#10;        &lt;CourtLevelID&gt;2&lt;/CourtLevelID&gt;&#10;        &lt;CaseJudgeFirstName&gt;éåñó&lt;/CaseJudgeFirstName&gt;&#10;        &lt;CaseJudgeLastName&gt;àìøåï &lt;/CaseJudgeLastName&gt;&#10;        &lt;JudicalPersonID&gt;053565529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CaseDesc&gt;æåîï îúåøâîï ìéåí 3.4.12.øá÷ä&lt;/CaseDesc&gt;&#10;        &lt;ArchivingActivityID&gt;2&lt;/ArchivingActivityID&gt;&#10;        &lt;GettingReasonID&gt;2&lt;/GettingReason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81031898&lt;/DecisionID&gt;&#10;        &lt;DecisionName&gt;âæø ãéï  îúàøéê  10/06/12  ùðéúðä ò&quot;é  éåñó àìøåï&lt;/DecisionName&gt;&#10;        &lt;DecisionStatusID&gt;1&lt;/DecisionStatusID&gt;&#10;        &lt;DecisionStatusChangeDate&gt;2012-06-10T09:11:01.4530000+03:00&lt;/DecisionStatusChangeDate&gt;&#10;        &lt;DecisionSignatureDate&gt;2012-06-10T07:58:30.6800000+03:00&lt;/DecisionSignatureDate&gt;&#10;        &lt;DecisionSignatureUserID&gt;053565529@GOV.IL&lt;/DecisionSignatureUserID&gt;&#10;        &lt;DecisionCreateDate&gt;2012-06-10T08:03:45.0200000+03:00&lt;/DecisionCreateDate&gt;&#10;        &lt;DecisionChangeDate&gt;2012-06-10T09:11:00.1470000+03:00&lt;/DecisionChangeDate&gt;&#10;        &lt;DecisionChangeUserID&gt;053565529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42736415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356552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3565529@GOV.IL&lt;/DecisionCreationUserID&gt;&#10;        &lt;DecisionDisplayName&gt;âæø ãéï  îúàøéê  10/06/12  ùðéúðä ò&quot;é  éåñó àìøåï&lt;/DecisionDisplayName&gt;&#10;        &lt;IsScanned&gt;false&lt;/IsScanned&gt;&#10;        &lt;DecisionSignatureUserName&gt;éåñó àìøåï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81031898&lt;/DecisionID&gt;&#10;        &lt;CaseID&gt;69189666&lt;/CaseID&gt;&#10;        &lt;IsOriginal&gt;true&lt;/IsOriginal&gt;&#10;        &lt;IsDeleted&gt;false&lt;/IsDeleted&gt;&#10;        &lt;CaseName&gt;îãéðú éùøàì ð' ñáàòðä(òöéø)&lt;/CaseName&gt;&#10;        &lt;CaseDisplayIdentifier&gt;29077-12-10 úô&quot;ç&lt;/CaseDisplayIdentifier&gt;&#10;      &lt;/dt_DecisionCase&gt;&#10;      &lt;dt_DecisionJudgePanel diffgr:id=&quot;dt_DecisionJudgePanel1&quot; msdata:rowOrder=&quot;0&quot;&gt;&#10;        &lt;DecisionID&gt;81031898&lt;/DecisionID&gt;&#10;        &lt;JudgeID&gt;053565529@GOV.IL&lt;/JudgeID&gt;&#10;        &lt;OrdinalNumber&gt;1&lt;/OrdinalNumber&gt;&#10;      &lt;/dt_DecisionJudgePanel&gt;&#10;      &lt;dt_DecisionJudgePanel diffgr:id=&quot;dt_DecisionJudgePanel2&quot; msdata:rowOrder=&quot;1&quot;&gt;&#10;        &lt;DecisionID&gt;81031898&lt;/DecisionID&gt;&#10;        &lt;JudgeID&gt;067578955@GOV.IL&lt;/JudgeID&gt;&#10;        &lt;OrdinalNumber&gt;2&lt;/OrdinalNumber&gt;&#10;      &lt;/dt_DecisionJudgePanel&gt;&#10;      &lt;dt_DecisionJudgePanel diffgr:id=&quot;dt_DecisionJudgePanel3&quot; msdata:rowOrder=&quot;2&quot;&gt;&#10;        &lt;DecisionID&gt;81031898&lt;/DecisionID&gt;&#10;        &lt;JudgeID&gt;054674635@GOV.IL&lt;/JudgeID&gt;&#10;        &lt;OrdinalNumber&gt;3&lt;/OrdinalNumber&gt;&#10;      &lt;/dt_DecisionJudgePanel&gt;&#10;    &lt;/DecisionDS&gt;&#10;  &lt;/diffgr:diffgram&gt;&#10;&lt;/DecisionDS&gt;"/>
    <w:docVar w:name="DecisionID" w:val="81031898"/>
    <w:docVar w:name="docID" w:val="142736415"/>
    <w:docVar w:name="judgeUPN" w:val="053565529@GOV.IL"/>
    <w:docVar w:name="MyInfo" w:val="This document was extracted from Nevo's site"/>
    <w:docVar w:name="NGCS.caseInterestID" w:val="-1"/>
    <w:docVar w:name="NGCS.caseTypeID" w:val="10077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053565529@GOV.IL"/>
    <w:docVar w:name="noteDocID" w:val="142736415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8"/>
      <w:szCs w:val="28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qFormat/>
    <w:pPr>
      <w:spacing w:before="0" w:after="120"/>
      <w:ind w:hanging="0" w:start="283" w:end="0"/>
      <w:jc w:val="start"/>
    </w:pPr>
    <w:rPr>
      <w:sz w:val="16"/>
      <w:szCs w:val="16"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Style11">
    <w:name w:val="צטוט"/>
    <w:basedOn w:val="Normal"/>
    <w:qFormat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spacing w:lineRule="auto" w:line="360"/>
      <w:ind w:hanging="567" w:start="567" w:end="567"/>
      <w:jc w:val="both"/>
    </w:pPr>
    <w:rPr>
      <w:sz w:val="20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5.a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44.a.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/301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186" TargetMode="External"/><Relationship Id="rId11" Type="http://schemas.openxmlformats.org/officeDocument/2006/relationships/hyperlink" Target="http://www.nevo.co.il/law/70301/300.a.2" TargetMode="External"/><Relationship Id="rId12" Type="http://schemas.openxmlformats.org/officeDocument/2006/relationships/hyperlink" Target="http://www.nevo.co.il/law/70301/301" TargetMode="External"/><Relationship Id="rId13" Type="http://schemas.openxmlformats.org/officeDocument/2006/relationships/hyperlink" Target="http://www.nevo.co.il/law/70301/144.a.;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77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17921936" TargetMode="External"/><Relationship Id="rId18" Type="http://schemas.openxmlformats.org/officeDocument/2006/relationships/hyperlink" Target="http://www.nevo.co.il/law/74903/186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case/5788915" TargetMode="External"/><Relationship Id="rId21" Type="http://schemas.openxmlformats.org/officeDocument/2006/relationships/hyperlink" Target="http://www.nevo.co.il/case/6159983" TargetMode="External"/><Relationship Id="rId22" Type="http://schemas.openxmlformats.org/officeDocument/2006/relationships/hyperlink" Target="http://www.nevo.co.il/law/70301/45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6133254" TargetMode="External"/><Relationship Id="rId25" Type="http://schemas.openxmlformats.org/officeDocument/2006/relationships/hyperlink" Target="http://www.nevo.co.il/case/17945897" TargetMode="External"/><Relationship Id="rId26" Type="http://schemas.openxmlformats.org/officeDocument/2006/relationships/hyperlink" Target="http://www.nevo.co.il/case/17937515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2016-07-27T15:29:00Z</dcterms:created>
  <dc:creator>Alina Raichlin</dc:creator>
  <dc:description/>
  <cp:keywords/>
  <dc:language>en-IL</dc:language>
  <cp:lastModifiedBy>run</cp:lastModifiedBy>
  <cp:lastPrinted>2012-06-10T08:52:00Z</cp:lastPrinted>
  <dcterms:modified xsi:type="dcterms:W3CDTF">2016-07-27T15:29:00Z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עדנאן סבאענה</vt:lpwstr>
  </property>
  <property fmtid="{D5CDD505-2E9C-101B-9397-08002B2CF9AE}" pid="4" name="CASESLISTTMP1">
    <vt:lpwstr>17921936;5788915;6159983;6133254;17945897;17937515</vt:lpwstr>
  </property>
  <property fmtid="{D5CDD505-2E9C-101B-9397-08002B2CF9AE}" pid="5" name="CITY">
    <vt:lpwstr>חי'</vt:lpwstr>
  </property>
  <property fmtid="{D5CDD505-2E9C-101B-9397-08002B2CF9AE}" pid="6" name="DATE">
    <vt:lpwstr>20120610</vt:lpwstr>
  </property>
  <property fmtid="{D5CDD505-2E9C-101B-9397-08002B2CF9AE}" pid="7" name="ISABSTRACT">
    <vt:lpwstr>Y</vt:lpwstr>
  </property>
  <property fmtid="{D5CDD505-2E9C-101B-9397-08002B2CF9AE}" pid="8" name="JUDGE">
    <vt:lpwstr>הרכב;י' אלרון [];מ' גלעד;א' אליקים</vt:lpwstr>
  </property>
  <property fmtid="{D5CDD505-2E9C-101B-9397-08002B2CF9AE}" pid="9" name="LAWLISTTMP1">
    <vt:lpwstr>70301/300.a.2;301;144.a;144.b;077;045.a</vt:lpwstr>
  </property>
  <property fmtid="{D5CDD505-2E9C-101B-9397-08002B2CF9AE}" pid="10" name="LAWLISTTMP2">
    <vt:lpwstr>74903/186</vt:lpwstr>
  </property>
  <property fmtid="{D5CDD505-2E9C-101B-9397-08002B2CF9AE}" pid="11" name="NEWPARTA">
    <vt:lpwstr>29077</vt:lpwstr>
  </property>
  <property fmtid="{D5CDD505-2E9C-101B-9397-08002B2CF9AE}" pid="12" name="NEWPARTB">
    <vt:lpwstr>12</vt:lpwstr>
  </property>
  <property fmtid="{D5CDD505-2E9C-101B-9397-08002B2CF9AE}" pid="13" name="NEWPARTC">
    <vt:lpwstr>10</vt:lpwstr>
  </property>
  <property fmtid="{D5CDD505-2E9C-101B-9397-08002B2CF9AE}" pid="14" name="NEWPROC">
    <vt:lpwstr>תפח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390020120610</vt:lpwstr>
  </property>
  <property fmtid="{D5CDD505-2E9C-101B-9397-08002B2CF9AE}" pid="18" name="TYPE_N_DATE">
    <vt:lpwstr>39020120610</vt:lpwstr>
  </property>
  <property fmtid="{D5CDD505-2E9C-101B-9397-08002B2CF9AE}" pid="19" name="WORDNUMPAGES">
    <vt:lpwstr>6</vt:lpwstr>
  </property>
</Properties>
</file>