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30634-12-11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טיב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2014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20"/>
      </w:tblGrid>
      <w:tr>
        <w:trPr/>
        <w:tc>
          <w:tcPr>
            <w:tcW w:w="8720" w:type="dxa"/>
            <w:tcBorders/>
          </w:tcPr>
          <w:p>
            <w:pPr>
              <w:pStyle w:val="Normal"/>
              <w:spacing w:lineRule="auto" w:line="360"/>
              <w:ind w:start="28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הנשיא יצחק כהן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start="28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סגן הנשיא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בנימין ארבל</w:t>
            </w:r>
          </w:p>
          <w:p>
            <w:pPr>
              <w:pStyle w:val="Normal"/>
              <w:spacing w:lineRule="auto" w:line="360"/>
              <w:ind w:start="28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השופטת אסתר הלמן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מאשימה  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נאשם 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יוסף ח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טיב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 xml:space="preserve">: </w:t>
      </w:r>
      <w:bookmarkStart w:id="3" w:name="FirstLawyer"/>
      <w:r>
        <w:rPr>
          <w:b/>
          <w:b/>
          <w:bCs/>
          <w:rtl w:val="true"/>
        </w:rPr>
        <w:t>בשם</w:t>
      </w:r>
      <w:bookmarkEnd w:id="3"/>
      <w:r>
        <w:rPr>
          <w:b/>
          <w:b/>
          <w:bCs/>
          <w:rtl w:val="true"/>
        </w:rPr>
        <w:t xml:space="preserve"> 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אבי פסטרנק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  <w:t xml:space="preserve">               </w:t>
      </w:r>
      <w:r>
        <w:rPr>
          <w:b/>
          <w:b/>
          <w:bCs/>
          <w:rtl w:val="true"/>
        </w:rPr>
        <w:t>בשם הנאשם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סנא 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יר ועו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ענאן 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יר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  <w:t xml:space="preserve">              </w:t>
      </w:r>
      <w:r>
        <w:rPr>
          <w:b/>
          <w:b/>
          <w:bCs/>
          <w:rtl w:val="true"/>
        </w:rPr>
        <w:t>הנאשם בעצמו באמצעות הליווי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4" w:name="Links_Kitvei_Start"/>
      <w:bookmarkEnd w:id="4"/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רון שפירא</w:t>
        </w:r>
        <w:r>
          <w:rPr>
            <w:rStyle w:val="Hyperlink"/>
            <w:rFonts w:cs="FrankRuehl" w:ascii="FrankRuehl" w:hAnsi="FrankRuehl"/>
            <w:rtl w:val="true"/>
          </w:rPr>
          <w:t>, "</w:t>
        </w:r>
        <w:r>
          <w:rPr>
            <w:rStyle w:val="Hyperlink"/>
            <w:rFonts w:ascii="FrankRuehl" w:hAnsi="FrankRuehl" w:cs="FrankRuehl"/>
            <w:rtl w:val="true"/>
          </w:rPr>
          <w:t>הגיעה העת לסולחה</w:t>
        </w:r>
        <w:r>
          <w:rPr>
            <w:rStyle w:val="Hyperlink"/>
            <w:rFonts w:cs="FrankRuehl" w:ascii="FrankRuehl" w:hAnsi="FrankRuehl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כרך מח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תשס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ה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תשס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</w:rPr>
          <w:t>433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"/>
      <w:bookmarkStart w:id="6" w:name="Links_Kitvei_End"/>
      <w:bookmarkStart w:id="7" w:name="LawTable"/>
      <w:bookmarkStart w:id="8" w:name="Links_Kitvei_End"/>
      <w:bookmarkEnd w:id="7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ו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242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9" w:name="Links_Kitvei_Start"/>
      <w:bookmarkStart w:id="10" w:name="LawTable"/>
      <w:bookmarkStart w:id="11" w:name="PsakDin"/>
      <w:bookmarkStart w:id="12" w:name="Links_Kitvei_Start"/>
      <w:bookmarkStart w:id="13" w:name="LawTable"/>
      <w:bookmarkStart w:id="14" w:name="PsakDin"/>
      <w:bookmarkEnd w:id="12"/>
      <w:bookmarkEnd w:id="13"/>
      <w:bookmarkEnd w:id="14"/>
    </w:p>
    <w:p>
      <w:pPr>
        <w:pStyle w:val="ListParagraph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bookmarkStart w:id="15" w:name="ABSTRACT_START"/>
      <w:bookmarkEnd w:id="15"/>
      <w:r>
        <w:rPr>
          <w:rFonts w:ascii="Times New Roman" w:hAnsi="Times New Roman" w:cs="FrankRuehl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ListParagraph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/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שהורשע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בהריגה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בנשק</w:t>
      </w:r>
      <w:r>
        <w:rPr>
          <w:rFonts w:cs="FrankRuehl" w:ascii="Times New Roman" w:hAnsi="Times New Roman"/>
          <w:sz w:val="24"/>
          <w:szCs w:val="26"/>
          <w:rtl w:val="true"/>
        </w:rPr>
        <w:t>,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שמדת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יבוש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מהלכי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משפט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והשית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16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שנתיים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ופיצוי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ListParagraph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תיקון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113</w:t>
      </w:r>
    </w:p>
    <w:p>
      <w:pPr>
        <w:pStyle w:val="ListParagraph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הריגה</w:t>
      </w:r>
    </w:p>
    <w:p>
      <w:pPr>
        <w:pStyle w:val="ListParagraph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הריגה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</w:t>
      </w:r>
      <w:r>
        <w:rPr>
          <w:rFonts w:ascii="Times New Roman" w:hAnsi="Times New Roman" w:cs="FrankRuehl"/>
          <w:szCs w:val="26"/>
          <w:rtl w:val="true"/>
        </w:rPr>
        <w:t>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בנשק</w:t>
      </w:r>
      <w:r>
        <w:rPr>
          <w:rFonts w:cs="FrankRuehl" w:ascii="Times New Roman" w:hAnsi="Times New Roman"/>
          <w:szCs w:val="26"/>
          <w:rtl w:val="true"/>
        </w:rPr>
        <w:t>,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</w:t>
      </w:r>
      <w:r>
        <w:rPr>
          <w:rFonts w:ascii="Times New Roman" w:hAnsi="Times New Roman" w:cs="FrankRuehl"/>
          <w:szCs w:val="26"/>
          <w:rtl w:val="true"/>
        </w:rPr>
        <w:t>שמדת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ראיות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FrankRuehl"/>
          <w:szCs w:val="26"/>
          <w:rtl w:val="true"/>
        </w:rPr>
        <w:t>יבוש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מהלכי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משפט</w:t>
      </w:r>
      <w:r>
        <w:rPr>
          <w:rFonts w:cs="FrankRuehl" w:ascii="Times New Roman" w:hAnsi="Times New Roman"/>
          <w:szCs w:val="26"/>
          <w:rtl w:val="true"/>
        </w:rPr>
        <w:t>.</w:t>
      </w:r>
      <w:r>
        <w:rPr>
          <w:rFonts w:cs="FrankRuehl" w:ascii="Times New Roman" w:hAnsi="Times New Roman"/>
          <w:szCs w:val="26"/>
          <w:rtl w:val="true"/>
        </w:rPr>
        <w:t xml:space="preserve">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המחוזי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ופסק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בגיזרת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תיקון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113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לחוק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העונשין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ראשית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לקבוע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מדובר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באירוע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במספר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אירועים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שנית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קביעת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וההנמקה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לכך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ושלישית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קביעת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הראוי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בתוך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סטי</w:t>
      </w:r>
      <w:r>
        <w:rPr>
          <w:rFonts w:ascii="Times New Roman" w:hAnsi="Times New Roman" w:cs="FrankRuehl"/>
          <w:szCs w:val="26"/>
          <w:rtl w:val="true"/>
        </w:rPr>
        <w:t>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וההנמקה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לכך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בפסיקה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ישנו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החמרה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הריגה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שנעברו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מחמירות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ולפי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פסיקת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ביהמ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העליון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לכלל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14-18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נוכח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מכלול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והשיקולים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הוטלו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בניכוי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מעצרו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במצטבר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מרצה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שנתיים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ופיצוי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6" w:name="ABSTRACT_END"/>
      <w:bookmarkStart w:id="17" w:name="ABSTRACT_END"/>
      <w:bookmarkEnd w:id="17"/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8" w:name="PsakDin"/>
      <w:bookmarkStart w:id="19" w:name="PsakDin"/>
      <w:bookmarkEnd w:id="19"/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כתב אישום מתוקן אשר הוגש נגד הנאשם</w:t>
      </w:r>
      <w:r>
        <w:rPr>
          <w:rtl w:val="true"/>
        </w:rPr>
        <w:t xml:space="preserve">, </w:t>
      </w:r>
      <w:r>
        <w:rPr>
          <w:rtl w:val="true"/>
        </w:rPr>
        <w:t>יוחסו לו העבירות 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  <w:tab/>
      </w:r>
    </w:p>
    <w:p>
      <w:pPr>
        <w:pStyle w:val="Normal"/>
        <w:spacing w:lineRule="auto" w:line="360"/>
        <w:ind w:hanging="720" w:start="1800" w:end="0"/>
        <w:jc w:val="both"/>
        <w:rPr/>
      </w:pPr>
      <w:r>
        <w:rPr>
          <w:b/>
          <w:b/>
          <w:bCs/>
          <w:rtl w:val="true"/>
        </w:rPr>
        <w:t>ר</w:t>
      </w:r>
      <w:r>
        <w:rPr>
          <w:b/>
          <w:b/>
          <w:bCs/>
          <w:rtl w:val="true"/>
        </w:rPr>
        <w:t>צח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1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hyperlink r:id="rId20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חוק </w:t>
        </w:r>
      </w:hyperlink>
    </w:p>
    <w:p>
      <w:pPr>
        <w:pStyle w:val="Normal"/>
        <w:spacing w:lineRule="auto" w:line="360"/>
        <w:ind w:start="1800" w:end="0"/>
        <w:jc w:val="both"/>
        <w:rPr/>
      </w:pPr>
      <w:hyperlink r:id="rId21"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");</w:t>
      </w:r>
    </w:p>
    <w:p>
      <w:pPr>
        <w:pStyle w:val="Normal"/>
        <w:spacing w:lineRule="auto" w:line="360"/>
        <w:ind w:hanging="720" w:start="18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b/>
          <w:b/>
          <w:bCs/>
          <w:rtl w:val="true"/>
        </w:rPr>
        <w:t>ע</w:t>
      </w:r>
      <w:r>
        <w:rPr>
          <w:b/>
          <w:b/>
          <w:bCs/>
          <w:rtl w:val="true"/>
        </w:rPr>
        <w:t>בירות בנשק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</w:t>
      </w:r>
      <w:r>
        <w:rPr>
          <w:rtl w:val="true"/>
        </w:rPr>
        <w:t xml:space="preserve">ירה לפי </w:t>
      </w:r>
      <w:hyperlink r:id="rId2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לחוק</w:t>
      </w:r>
      <w:r>
        <w:rPr>
          <w:rtl w:val="true"/>
        </w:rPr>
        <w:t xml:space="preserve">, </w:t>
      </w:r>
      <w:r>
        <w:rPr>
          <w:rtl w:val="true"/>
        </w:rPr>
        <w:t xml:space="preserve">ועבירה לפי </w:t>
      </w:r>
      <w:hyperlink r:id="rId23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ל</w:t>
      </w:r>
      <w:hyperlink r:id="rId2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שמדת ראיות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2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;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b/>
          <w:b/>
          <w:bCs/>
          <w:rtl w:val="true"/>
        </w:rPr>
        <w:t>ש</w:t>
      </w:r>
      <w:r>
        <w:rPr>
          <w:b/>
          <w:b/>
          <w:bCs/>
          <w:rtl w:val="true"/>
        </w:rPr>
        <w:t>יבוש מהלכי משפט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2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>.</w:t>
      </w:r>
      <w:r>
        <w:rPr>
          <w:rtl w:val="true"/>
        </w:rPr>
        <w:t xml:space="preserve"> 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הכרעת הדין מיום </w:t>
      </w:r>
      <w:r>
        <w:rPr/>
        <w:t>5.1.2014</w:t>
      </w:r>
      <w:r>
        <w:rPr>
          <w:rtl w:val="true"/>
        </w:rPr>
        <w:t xml:space="preserve"> </w:t>
      </w:r>
      <w:r>
        <w:rPr>
          <w:rtl w:val="true"/>
        </w:rPr>
        <w:t>הורשע הנאשם</w:t>
      </w:r>
      <w:r>
        <w:rPr>
          <w:rtl w:val="true"/>
        </w:rPr>
        <w:t xml:space="preserve">, </w:t>
      </w:r>
      <w:r>
        <w:rPr>
          <w:rtl w:val="true"/>
        </w:rPr>
        <w:t>פה אחד</w:t>
      </w:r>
      <w:r>
        <w:rPr>
          <w:rtl w:val="true"/>
        </w:rPr>
        <w:t xml:space="preserve">, </w:t>
      </w:r>
      <w:r>
        <w:rPr>
          <w:rtl w:val="true"/>
        </w:rPr>
        <w:t>בעבירות שיוחסו לו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למעט עבירת הרצח ממנה זוכה הנאשם </w:t>
      </w:r>
      <w:r>
        <w:rPr>
          <w:rtl w:val="true"/>
        </w:rPr>
        <w:t xml:space="preserve">– </w:t>
      </w:r>
      <w:r>
        <w:rPr>
          <w:rtl w:val="true"/>
        </w:rPr>
        <w:t xml:space="preserve">בשל הספק שנותר </w:t>
      </w:r>
      <w:r>
        <w:rPr>
          <w:rtl w:val="true"/>
        </w:rPr>
        <w:t>ב</w:t>
      </w:r>
      <w:r>
        <w:rPr>
          <w:rtl w:val="true"/>
        </w:rPr>
        <w:t>יחס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התמלאות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כיבי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יסוד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נפשי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בעבי</w:t>
      </w:r>
      <w:r>
        <w:rPr>
          <w:rtl w:val="true"/>
        </w:rPr>
        <w:t>ר</w:t>
      </w:r>
      <w:r>
        <w:rPr>
          <w:rtl w:val="true"/>
        </w:rPr>
        <w:t>ה זו</w:t>
      </w:r>
      <w:r>
        <w:rPr>
          <w:rtl w:val="true"/>
        </w:rPr>
        <w:t xml:space="preserve"> – </w:t>
      </w:r>
      <w:r>
        <w:rPr>
          <w:rtl w:val="true"/>
        </w:rPr>
        <w:t>ותחתיה הורשע הנאשם בעבירת ההריגה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ע</w:t>
      </w:r>
      <w:r>
        <w:rPr>
          <w:rtl w:val="true"/>
        </w:rPr>
        <w:t>ובדות כתב האישום המתוקן מפורטות בהרחבה בהכרעת הדין והרי הן מתומצתות כמבוא להכרעת דינינו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 xml:space="preserve">הנאשם ארב בלילה שבין </w:t>
      </w:r>
      <w:r>
        <w:rPr/>
        <w:t>11.9.11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12.9.11</w:t>
      </w:r>
      <w:r>
        <w:rPr>
          <w:rtl w:val="true"/>
        </w:rPr>
        <w:t xml:space="preserve"> </w:t>
      </w:r>
      <w:r>
        <w:rPr>
          <w:rtl w:val="true"/>
        </w:rPr>
        <w:t>למנוח ויסאם ח</w:t>
      </w:r>
      <w:r>
        <w:rPr>
          <w:rtl w:val="true"/>
        </w:rPr>
        <w:t>'</w:t>
      </w:r>
      <w:r>
        <w:rPr>
          <w:rtl w:val="true"/>
        </w:rPr>
        <w:t xml:space="preserve">טיב </w:t>
      </w:r>
      <w:r>
        <w:rPr>
          <w:rtl w:val="true"/>
        </w:rPr>
        <w:t>(</w:t>
      </w:r>
      <w:r>
        <w:rPr>
          <w:rtl w:val="true"/>
        </w:rPr>
        <w:t xml:space="preserve">שלהלן יקרא  </w:t>
      </w:r>
      <w:r>
        <w:rPr>
          <w:rtl w:val="true"/>
        </w:rPr>
        <w:t>"</w:t>
      </w:r>
      <w:r>
        <w:rPr>
          <w:rtl w:val="true"/>
        </w:rPr>
        <w:t>המנוח</w:t>
      </w:r>
      <w:r>
        <w:rPr>
          <w:rtl w:val="true"/>
        </w:rPr>
        <w:t xml:space="preserve">"), </w:t>
      </w:r>
      <w:r>
        <w:rPr>
          <w:rtl w:val="true"/>
        </w:rPr>
        <w:t>סמוך לביתו</w:t>
      </w:r>
      <w:r>
        <w:rPr>
          <w:rtl w:val="true"/>
        </w:rPr>
        <w:t xml:space="preserve">, </w:t>
      </w:r>
      <w:r>
        <w:rPr>
          <w:rtl w:val="true"/>
        </w:rPr>
        <w:t xml:space="preserve">כשהוא מצויד ברובה סער מסוג </w:t>
      </w:r>
      <w:r>
        <w:rPr/>
        <w:t>16</w:t>
      </w:r>
      <w:r>
        <w:rPr>
          <w:rtl w:val="true"/>
        </w:rPr>
        <w:t xml:space="preserve"> 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בו הצטייד מראש</w:t>
      </w:r>
      <w:r>
        <w:rPr>
          <w:rtl w:val="true"/>
        </w:rPr>
        <w:t xml:space="preserve">, </w:t>
      </w:r>
      <w:r>
        <w:rPr>
          <w:rtl w:val="true"/>
        </w:rPr>
        <w:t>וללא שהיה מורשה לכך</w:t>
      </w:r>
      <w:r>
        <w:rPr>
          <w:rtl w:val="true"/>
        </w:rPr>
        <w:t xml:space="preserve">. </w:t>
      </w:r>
      <w:r>
        <w:rPr>
          <w:rtl w:val="true"/>
        </w:rPr>
        <w:t xml:space="preserve">סמוך לשעה </w:t>
      </w:r>
      <w:r>
        <w:rPr/>
        <w:t>05:00</w:t>
      </w:r>
      <w:r>
        <w:rPr>
          <w:rtl w:val="true"/>
        </w:rPr>
        <w:t xml:space="preserve"> </w:t>
      </w:r>
      <w:r>
        <w:rPr>
          <w:rtl w:val="true"/>
        </w:rPr>
        <w:t>בבוקר יצא המנוח מביתו ונכנס למכוניתו</w:t>
      </w:r>
      <w:r>
        <w:rPr>
          <w:rtl w:val="true"/>
        </w:rPr>
        <w:t xml:space="preserve">. </w:t>
      </w:r>
      <w:r>
        <w:rPr>
          <w:rtl w:val="true"/>
        </w:rPr>
        <w:t>או אז ניגש אליו הנאשם</w:t>
      </w:r>
      <w:r>
        <w:rPr>
          <w:rtl w:val="true"/>
        </w:rPr>
        <w:t xml:space="preserve">, </w:t>
      </w:r>
      <w:r>
        <w:rPr>
          <w:rtl w:val="true"/>
        </w:rPr>
        <w:t>כשהוא מצויד ברובה ורעול פנים</w:t>
      </w:r>
      <w:r>
        <w:rPr>
          <w:rtl w:val="true"/>
        </w:rPr>
        <w:t xml:space="preserve">, </w:t>
      </w:r>
      <w:r>
        <w:rPr>
          <w:rtl w:val="true"/>
        </w:rPr>
        <w:t>ירה בחלון המכונית</w:t>
      </w:r>
      <w:r>
        <w:rPr>
          <w:rtl w:val="true"/>
        </w:rPr>
        <w:t xml:space="preserve">, </w:t>
      </w:r>
      <w:r>
        <w:rPr>
          <w:rtl w:val="true"/>
        </w:rPr>
        <w:t>ולאחר מכן ירה מספר יריות לעבר פלג גופו התחתון של המנוח</w:t>
      </w:r>
      <w:r>
        <w:rPr>
          <w:rtl w:val="true"/>
        </w:rPr>
        <w:t xml:space="preserve">. </w:t>
      </w:r>
      <w:r>
        <w:rPr>
          <w:rtl w:val="true"/>
        </w:rPr>
        <w:t>כתוצאה מירי זה</w:t>
      </w:r>
      <w:r>
        <w:rPr>
          <w:rtl w:val="true"/>
        </w:rPr>
        <w:t xml:space="preserve">, </w:t>
      </w:r>
      <w:r>
        <w:rPr>
          <w:rtl w:val="true"/>
        </w:rPr>
        <w:t>נפגע המנוח בגפיו התחתונות ובאגן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פגע קליע בעורק הפמורלי</w:t>
      </w:r>
      <w:r>
        <w:rPr>
          <w:rtl w:val="true"/>
        </w:rPr>
        <w:t xml:space="preserve">, </w:t>
      </w:r>
      <w:r>
        <w:rPr>
          <w:rtl w:val="true"/>
        </w:rPr>
        <w:t>המוביל אל ירכו הימנית של המנוח</w:t>
      </w:r>
      <w:r>
        <w:rPr>
          <w:rtl w:val="true"/>
        </w:rPr>
        <w:t xml:space="preserve">, </w:t>
      </w:r>
      <w:r>
        <w:rPr>
          <w:rtl w:val="true"/>
        </w:rPr>
        <w:t>שהינו כלי דם ראשי</w:t>
      </w:r>
      <w:r>
        <w:rPr>
          <w:rtl w:val="true"/>
        </w:rPr>
        <w:t xml:space="preserve">, </w:t>
      </w:r>
      <w:r>
        <w:rPr>
          <w:rtl w:val="true"/>
        </w:rPr>
        <w:t>וקטעו</w:t>
      </w:r>
      <w:r>
        <w:rPr>
          <w:rtl w:val="true"/>
        </w:rPr>
        <w:t xml:space="preserve">. </w:t>
      </w:r>
      <w:r>
        <w:rPr>
          <w:rtl w:val="true"/>
        </w:rPr>
        <w:t>פגיעה זו הביאה לדימום מסיבי מן העורק הפגוע</w:t>
      </w:r>
      <w:r>
        <w:rPr>
          <w:rtl w:val="true"/>
        </w:rPr>
        <w:t xml:space="preserve">, </w:t>
      </w:r>
      <w:r>
        <w:rPr>
          <w:rtl w:val="true"/>
        </w:rPr>
        <w:t>אשר הביא למותו של המנוח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נמלט הנאשם מן המקום</w:t>
      </w:r>
      <w:r>
        <w:rPr>
          <w:rtl w:val="true"/>
        </w:rPr>
        <w:t xml:space="preserve">, </w:t>
      </w:r>
      <w:r>
        <w:rPr>
          <w:rtl w:val="true"/>
        </w:rPr>
        <w:t>אגב שהוא משמיד את הנשק והבגדים שלבש בעת האירוע במטרה לטשטש ולהשמיד ראיות</w:t>
      </w:r>
      <w:r>
        <w:rPr>
          <w:rtl w:val="true"/>
        </w:rPr>
        <w:t xml:space="preserve">. </w:t>
      </w:r>
      <w:r>
        <w:rPr>
          <w:rtl w:val="true"/>
        </w:rPr>
        <w:t>כן פנה הנאשם לקרוב משפחתו בבקשה שזה יטול ויסתיר את מכשיר הטלפון הסלולרי ומחסנית נשק</w:t>
      </w:r>
      <w:r>
        <w:rPr>
          <w:rtl w:val="true"/>
        </w:rPr>
        <w:t xml:space="preserve">, </w:t>
      </w:r>
      <w:r>
        <w:rPr>
          <w:rtl w:val="true"/>
        </w:rPr>
        <w:t>אותם הוא שכח במקום המארב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בסופו של הליך</w:t>
      </w:r>
      <w:r>
        <w:rPr>
          <w:rtl w:val="true"/>
        </w:rPr>
        <w:t xml:space="preserve">, </w:t>
      </w:r>
      <w:r>
        <w:rPr>
          <w:rtl w:val="true"/>
        </w:rPr>
        <w:t>מצאנו לנכון לזכות את הנאשם מעבירת רצח</w:t>
      </w:r>
      <w:r>
        <w:rPr>
          <w:rtl w:val="true"/>
        </w:rPr>
        <w:t xml:space="preserve">, </w:t>
      </w:r>
      <w:r>
        <w:rPr>
          <w:rtl w:val="true"/>
        </w:rPr>
        <w:t>וזאת מחמת הספק</w:t>
      </w:r>
      <w:r>
        <w:rPr>
          <w:rtl w:val="true"/>
        </w:rPr>
        <w:t xml:space="preserve">,  </w:t>
      </w:r>
      <w:r>
        <w:rPr>
          <w:rtl w:val="true"/>
        </w:rPr>
        <w:t>להרשיעו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בעבירת הריגה</w:t>
      </w:r>
      <w:r>
        <w:rPr>
          <w:rtl w:val="true"/>
        </w:rPr>
        <w:t xml:space="preserve">, </w:t>
      </w:r>
      <w:r>
        <w:rPr>
          <w:rtl w:val="true"/>
        </w:rPr>
        <w:t>מחמת הספק ביסוד הנפשי שקינן בו בעת המעשה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כן מצאנו לנכון להרשיעו בעבירות הנוגעות לנשק</w:t>
      </w:r>
      <w:r>
        <w:rPr>
          <w:rtl w:val="true"/>
        </w:rPr>
        <w:t xml:space="preserve">, </w:t>
      </w:r>
      <w:r>
        <w:rPr>
          <w:rtl w:val="true"/>
        </w:rPr>
        <w:t>מחמת החזקתו ושימושו ברובה</w:t>
      </w:r>
      <w:r>
        <w:rPr>
          <w:rtl w:val="true"/>
        </w:rPr>
        <w:t xml:space="preserve">, </w:t>
      </w:r>
      <w:r>
        <w:rPr>
          <w:rtl w:val="true"/>
        </w:rPr>
        <w:t>ובעבירות של השמדת ראיות</w:t>
      </w:r>
      <w:r>
        <w:rPr>
          <w:rtl w:val="true"/>
        </w:rPr>
        <w:t xml:space="preserve">, </w:t>
      </w:r>
      <w:r>
        <w:rPr>
          <w:rtl w:val="true"/>
        </w:rPr>
        <w:t>הנוגעות לכך שהוא השמיד את הרובה ובגדיו</w:t>
      </w:r>
      <w:r>
        <w:rPr>
          <w:rtl w:val="true"/>
        </w:rPr>
        <w:t xml:space="preserve">, </w:t>
      </w:r>
      <w:r>
        <w:rPr>
          <w:rtl w:val="true"/>
        </w:rPr>
        <w:t>וכן ניסה להביא אחר להסתיר ממצאים שהותרו בזירה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ע</w:t>
      </w:r>
      <w:r>
        <w:rPr>
          <w:rtl w:val="true"/>
        </w:rPr>
        <w:t>ם הרשעתו של הנאשם הורינו</w:t>
      </w:r>
      <w:r>
        <w:rPr>
          <w:rtl w:val="true"/>
        </w:rPr>
        <w:t xml:space="preserve">, </w:t>
      </w:r>
      <w:r>
        <w:rPr>
          <w:rtl w:val="true"/>
        </w:rPr>
        <w:t>לבקשתה של באת כוח המאשימה</w:t>
      </w:r>
      <w:r>
        <w:rPr>
          <w:rtl w:val="true"/>
        </w:rPr>
        <w:t xml:space="preserve">, </w:t>
      </w:r>
      <w:r>
        <w:rPr>
          <w:rtl w:val="true"/>
        </w:rPr>
        <w:t>על הכנת תסקיר נפגעי עבירה ביחס לבני משפחתו של המנוח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שר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תן תמונה מלאה של מצב</w:t>
      </w:r>
      <w:r>
        <w:rPr>
          <w:rtl w:val="true"/>
        </w:rPr>
        <w:t>ם</w:t>
      </w:r>
      <w:r>
        <w:rPr>
          <w:rtl w:val="true"/>
        </w:rPr>
        <w:t xml:space="preserve"> כיום</w:t>
      </w:r>
      <w:r>
        <w:rPr>
          <w:rtl w:val="true"/>
        </w:rPr>
        <w:t xml:space="preserve">. </w:t>
      </w:r>
      <w:r>
        <w:rPr>
          <w:rtl w:val="true"/>
        </w:rPr>
        <w:t xml:space="preserve">תסקיר כאמור הוגש לתיק בית המשפט ביום </w:t>
      </w:r>
      <w:r>
        <w:rPr/>
        <w:t>29.1.2014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כן הורינו</w:t>
      </w:r>
      <w:r>
        <w:rPr>
          <w:rtl w:val="true"/>
        </w:rPr>
        <w:t xml:space="preserve">, </w:t>
      </w:r>
      <w:r>
        <w:rPr>
          <w:rtl w:val="true"/>
        </w:rPr>
        <w:t>לבקשתה של באת כוח הנאשם</w:t>
      </w:r>
      <w:r>
        <w:rPr>
          <w:rtl w:val="true"/>
        </w:rPr>
        <w:t xml:space="preserve">, </w:t>
      </w:r>
      <w:r>
        <w:rPr>
          <w:rtl w:val="true"/>
        </w:rPr>
        <w:t>על הכנת תסקיר שירות מבחן בעניינו של הנאשם</w:t>
      </w:r>
      <w:r>
        <w:rPr>
          <w:rtl w:val="true"/>
        </w:rPr>
        <w:t xml:space="preserve">. </w:t>
      </w:r>
      <w:r>
        <w:rPr>
          <w:rtl w:val="true"/>
        </w:rPr>
        <w:t xml:space="preserve">תסקיר כאמור הוכן והוגש לתיק בית המשפט ביום </w:t>
      </w:r>
      <w:r>
        <w:rPr/>
        <w:t>6.2.2014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</w:t>
      </w:r>
      <w:r>
        <w:rPr>
          <w:b/>
          <w:b/>
          <w:bCs/>
          <w:u w:val="single"/>
          <w:rtl w:val="true"/>
        </w:rPr>
        <w:t xml:space="preserve">קיר קצין מבחן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מסגרת התסקיר סוקר קצין המבחן את נסיבותיו האישיות והמשפחתיות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היותו רווק בן 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תושב כפר</w:t>
      </w:r>
      <w:r>
        <w:rPr>
          <w:rtl w:val="true"/>
        </w:rPr>
        <w:t>-</w:t>
      </w:r>
      <w:r>
        <w:rPr>
          <w:rtl w:val="true"/>
        </w:rPr>
        <w:t>כנא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שר טרם מאסרו התגורר בבית הוריו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ע</w:t>
      </w:r>
      <w:r>
        <w:rPr>
          <w:rtl w:val="true"/>
        </w:rPr>
        <w:t xml:space="preserve">יון בתסקיר המבחן מלמד כי הנאשם שירת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בשירות סדיר בצה</w:t>
      </w:r>
      <w:r>
        <w:rPr>
          <w:rtl w:val="true"/>
        </w:rPr>
        <w:t>"</w:t>
      </w:r>
      <w:r>
        <w:rPr>
          <w:rtl w:val="true"/>
        </w:rPr>
        <w:t>ל ושנה נוספת בשירות קבע בתפקיד חובש קרבי</w:t>
      </w:r>
      <w:r>
        <w:rPr>
          <w:rtl w:val="true"/>
        </w:rPr>
        <w:t xml:space="preserve">. </w:t>
      </w:r>
      <w:r>
        <w:rPr>
          <w:rtl w:val="true"/>
        </w:rPr>
        <w:t>עם שחרורו מהצבא התקשה להסתגל לחיים בכפרו ולהשתלב בתעסוקה סדירה</w:t>
      </w:r>
      <w:r>
        <w:rPr>
          <w:rtl w:val="true"/>
        </w:rPr>
        <w:t xml:space="preserve">. </w:t>
      </w:r>
      <w:r>
        <w:rPr>
          <w:rtl w:val="true"/>
        </w:rPr>
        <w:t>על רקע זה העתיק הנאשם את מקום מגוריו למרכז הארץ</w:t>
      </w:r>
      <w:r>
        <w:rPr>
          <w:rtl w:val="true"/>
        </w:rPr>
        <w:t xml:space="preserve">, </w:t>
      </w:r>
      <w:r>
        <w:rPr>
          <w:rtl w:val="true"/>
        </w:rPr>
        <w:t>והחל לעבוד בתפקיד נציג שירות של חברת תקשורת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ע</w:t>
      </w:r>
      <w:r>
        <w:rPr>
          <w:rtl w:val="true"/>
        </w:rPr>
        <w:t>וד עולה מתסקיר המבחן</w:t>
      </w:r>
      <w:r>
        <w:rPr>
          <w:rtl w:val="true"/>
        </w:rPr>
        <w:t xml:space="preserve">, </w:t>
      </w:r>
      <w:r>
        <w:rPr>
          <w:rtl w:val="true"/>
        </w:rPr>
        <w:t>כי במקביל למעצרו בתיק זה</w:t>
      </w:r>
      <w:r>
        <w:rPr>
          <w:rtl w:val="true"/>
        </w:rPr>
        <w:t xml:space="preserve">, </w:t>
      </w:r>
      <w:r>
        <w:rPr>
          <w:rtl w:val="true"/>
        </w:rPr>
        <w:t>מרצה הנאשם עונש מאסר בפועל בגין מעורבותו בעבירות רכוש אותן ביצע עובר לאירועי הליך זה</w:t>
      </w:r>
      <w:r>
        <w:rPr>
          <w:rtl w:val="true"/>
        </w:rPr>
        <w:t xml:space="preserve">. </w:t>
      </w:r>
      <w:r>
        <w:rPr>
          <w:rtl w:val="true"/>
        </w:rPr>
        <w:t>צוין כי הנאשם שוהה באגף משתלבים ולחובתו שלילת טובות הנאה</w:t>
      </w:r>
      <w:r>
        <w:rPr>
          <w:rtl w:val="true"/>
        </w:rPr>
        <w:t xml:space="preserve">, </w:t>
      </w:r>
      <w:r>
        <w:rPr>
          <w:rtl w:val="true"/>
        </w:rPr>
        <w:t xml:space="preserve">האחרונה מחודש ספטמבר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בין היתר בשל מציאת דוקרנים בתאו</w:t>
      </w:r>
      <w:r>
        <w:rPr>
          <w:rtl w:val="true"/>
        </w:rPr>
        <w:t xml:space="preserve">. </w:t>
      </w:r>
      <w:r>
        <w:rPr>
          <w:rtl w:val="true"/>
        </w:rPr>
        <w:t>עוד צוין בתסקיר המבחן</w:t>
      </w:r>
      <w:r>
        <w:rPr>
          <w:rtl w:val="true"/>
        </w:rPr>
        <w:t xml:space="preserve">, </w:t>
      </w:r>
      <w:r>
        <w:rPr>
          <w:rtl w:val="true"/>
        </w:rPr>
        <w:t>כי עניינו של הנאשם נדון בוועדת אלימות בבית הסוהר בו הוא מרצה את עונשו</w:t>
      </w:r>
      <w:r>
        <w:rPr>
          <w:rtl w:val="true"/>
        </w:rPr>
        <w:t xml:space="preserve">, </w:t>
      </w:r>
      <w:r>
        <w:rPr>
          <w:rtl w:val="true"/>
        </w:rPr>
        <w:t>ולעת הזו נמנעו ממנו חופשות ונשלל שחרור מוקדם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ה</w:t>
      </w:r>
      <w:r>
        <w:rPr>
          <w:rtl w:val="true"/>
        </w:rPr>
        <w:t>נאשם הודה בפני שירות המבחן במיוחס לו בכתב האישום</w:t>
      </w:r>
      <w:r>
        <w:rPr>
          <w:rtl w:val="true"/>
        </w:rPr>
        <w:t xml:space="preserve">, </w:t>
      </w:r>
      <w:r>
        <w:rPr>
          <w:rtl w:val="true"/>
        </w:rPr>
        <w:t>תוך ניסיון להמעיט מחלקו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גרס הנאשם כי מותו של המנוח נגרם עקב טיפול רפואי לקוי שניתן לו וכי הרשעתו של הנאשם בהריגה אינה צודקת</w:t>
      </w:r>
      <w:r>
        <w:rPr>
          <w:rtl w:val="true"/>
        </w:rPr>
        <w:t xml:space="preserve">. </w:t>
      </w:r>
      <w:r>
        <w:rPr>
          <w:rtl w:val="true"/>
        </w:rPr>
        <w:t>התרשמותו של קצין המבחן הינה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 מעבר להודאתו המילולית</w:t>
      </w:r>
      <w:r>
        <w:rPr>
          <w:rtl w:val="true"/>
        </w:rPr>
        <w:t xml:space="preserve">, </w:t>
      </w:r>
      <w:r>
        <w:rPr>
          <w:rtl w:val="true"/>
        </w:rPr>
        <w:t>הנאשם אינו מחובר רגשית לתוצאות מעשיו</w:t>
      </w:r>
      <w:r>
        <w:rPr>
          <w:rtl w:val="true"/>
        </w:rPr>
        <w:t xml:space="preserve">, </w:t>
      </w:r>
      <w:r>
        <w:rPr>
          <w:rtl w:val="true"/>
        </w:rPr>
        <w:t>והוא מתמקד בהשפעתן עליו ועל עתידו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ל</w:t>
      </w:r>
      <w:r>
        <w:rPr>
          <w:rtl w:val="true"/>
        </w:rPr>
        <w:t>התרשמותו של קצין המבחן</w:t>
      </w:r>
      <w:r>
        <w:rPr>
          <w:rtl w:val="true"/>
        </w:rPr>
        <w:t xml:space="preserve">, </w:t>
      </w:r>
      <w:r>
        <w:rPr>
          <w:rtl w:val="true"/>
        </w:rPr>
        <w:t>הנאשם עסוק בהשלכת האחריות לביצוע העבירות נשוא הליך זה</w:t>
      </w:r>
      <w:r>
        <w:rPr>
          <w:rtl w:val="true"/>
        </w:rPr>
        <w:t xml:space="preserve">, </w:t>
      </w:r>
      <w:r>
        <w:rPr>
          <w:rtl w:val="true"/>
        </w:rPr>
        <w:t>כמו גם העבירה הקודמת</w:t>
      </w:r>
      <w:r>
        <w:rPr>
          <w:rtl w:val="true"/>
        </w:rPr>
        <w:t xml:space="preserve">, </w:t>
      </w:r>
      <w:r>
        <w:rPr>
          <w:rtl w:val="true"/>
        </w:rPr>
        <w:t>על גורמים חיצוניים</w:t>
      </w:r>
      <w:r>
        <w:rPr>
          <w:rtl w:val="true"/>
        </w:rPr>
        <w:t xml:space="preserve">, </w:t>
      </w:r>
      <w:r>
        <w:rPr>
          <w:rtl w:val="true"/>
        </w:rPr>
        <w:t>ובכלל זה על מצבו הכלכלי וציפיותיהם של אחרים ממנו</w:t>
      </w:r>
      <w:r>
        <w:rPr>
          <w:rtl w:val="true"/>
        </w:rPr>
        <w:t xml:space="preserve">. </w:t>
      </w:r>
      <w:r>
        <w:rPr>
          <w:rtl w:val="true"/>
        </w:rPr>
        <w:t>הנאשם פועל מתוך מיקוד שליטה חיצוני</w:t>
      </w:r>
      <w:r>
        <w:rPr>
          <w:rtl w:val="true"/>
        </w:rPr>
        <w:t xml:space="preserve">, </w:t>
      </w:r>
      <w:r>
        <w:rPr>
          <w:rtl w:val="true"/>
        </w:rPr>
        <w:t>מבלי יכולת להתחבר לחלקים הבעייתיים שבאישיותו</w:t>
      </w:r>
      <w:r>
        <w:rPr>
          <w:rtl w:val="true"/>
        </w:rPr>
        <w:t xml:space="preserve">, </w:t>
      </w:r>
      <w:r>
        <w:rPr>
          <w:rtl w:val="true"/>
        </w:rPr>
        <w:t>ואשר עומדים בבסיס התנהגותו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ק</w:t>
      </w:r>
      <w:r>
        <w:rPr>
          <w:rtl w:val="true"/>
        </w:rPr>
        <w:t>צין המבחן הטעים</w:t>
      </w:r>
      <w:r>
        <w:rPr>
          <w:rtl w:val="true"/>
        </w:rPr>
        <w:t xml:space="preserve">, </w:t>
      </w:r>
      <w:r>
        <w:rPr>
          <w:rtl w:val="true"/>
        </w:rPr>
        <w:t>כי כל עוד חסר חיבור רגשי של הנאשם לתוצאות מעשיו וכל עוד  הנאשם אינו מסוגל ואינו בשל לבדיקה עצמית משמעותית</w:t>
      </w:r>
      <w:r>
        <w:rPr>
          <w:rtl w:val="true"/>
        </w:rPr>
        <w:t xml:space="preserve">, </w:t>
      </w:r>
      <w:r>
        <w:rPr>
          <w:rtl w:val="true"/>
        </w:rPr>
        <w:t>קיים סיכון להתנהגות בעייתית ופוגענית מצדו בעתיד</w:t>
      </w:r>
      <w:r>
        <w:rPr>
          <w:rtl w:val="true"/>
        </w:rPr>
        <w:t xml:space="preserve">. </w:t>
      </w:r>
      <w:r>
        <w:rPr>
          <w:rtl w:val="true"/>
        </w:rPr>
        <w:t>על רקע האמור</w:t>
      </w:r>
      <w:r>
        <w:rPr>
          <w:rtl w:val="true"/>
        </w:rPr>
        <w:t xml:space="preserve">, </w:t>
      </w:r>
      <w:r>
        <w:rPr>
          <w:rtl w:val="true"/>
        </w:rPr>
        <w:t>הערכתו של שירות המבחן הינה כי הנאשם יוכל לקבל מענה טיפולי במסגרת בית הסוהר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תס</w:t>
      </w:r>
      <w:r>
        <w:rPr>
          <w:b/>
          <w:b/>
          <w:bCs/>
          <w:u w:val="single"/>
          <w:rtl w:val="true"/>
        </w:rPr>
        <w:t>קיר נפגעי עבירה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ת</w:t>
      </w:r>
      <w:r>
        <w:rPr>
          <w:rtl w:val="true"/>
        </w:rPr>
        <w:t>וכנו של התסקיר</w:t>
      </w:r>
      <w:r>
        <w:rPr>
          <w:rtl w:val="true"/>
        </w:rPr>
        <w:t xml:space="preserve">, </w:t>
      </w:r>
      <w:r>
        <w:rPr>
          <w:rtl w:val="true"/>
        </w:rPr>
        <w:t>במסגרתו מפורטת התמודדותם של בני משפחתו של המנוח עם מות יקירם</w:t>
      </w:r>
      <w:r>
        <w:rPr>
          <w:rtl w:val="true"/>
        </w:rPr>
        <w:t xml:space="preserve">, </w:t>
      </w:r>
      <w:r>
        <w:rPr>
          <w:rtl w:val="true"/>
        </w:rPr>
        <w:t>הינו חסוי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נציין כי עולה מהתסקיר שהשכול והאובדן שחווים בני המשפחה בעקבות מותו הפתאומי של המנוח משפיעים ברמה היומיומית על תפקודם ועל מצבם הרגשי</w:t>
      </w:r>
      <w:r>
        <w:rPr>
          <w:rtl w:val="true"/>
        </w:rPr>
        <w:t xml:space="preserve">, </w:t>
      </w:r>
      <w:r>
        <w:rPr>
          <w:rtl w:val="true"/>
        </w:rPr>
        <w:t>הן כפרטים והן כמשפחה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 xml:space="preserve">  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ה</w:t>
      </w:r>
      <w:r>
        <w:rPr>
          <w:rtl w:val="true"/>
        </w:rPr>
        <w:t>אובדן הפתאומי נחווה בידיהם כאירוע טראומטי קיצוני</w:t>
      </w:r>
      <w:r>
        <w:rPr>
          <w:rtl w:val="true"/>
        </w:rPr>
        <w:t xml:space="preserve">, </w:t>
      </w:r>
      <w:r>
        <w:rPr>
          <w:rtl w:val="true"/>
        </w:rPr>
        <w:t>אשר מלווה בתחושת הלם עמוק והתמוטטות מוחלטת של העולם המוכר והבטוח</w:t>
      </w:r>
      <w:r>
        <w:rPr>
          <w:rtl w:val="true"/>
        </w:rPr>
        <w:t xml:space="preserve">, </w:t>
      </w:r>
      <w:r>
        <w:rPr>
          <w:rtl w:val="true"/>
        </w:rPr>
        <w:t>במיוחד נוכח העובדה שהאירוע התרחש בחצר ביתם ושהפוגע הוא בן המשפחה המורחבת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א</w:t>
      </w:r>
      <w:r>
        <w:rPr>
          <w:rtl w:val="true"/>
        </w:rPr>
        <w:t>ימו של המנוח סובלת מבעיות רפואיות</w:t>
      </w:r>
      <w:r>
        <w:rPr>
          <w:rtl w:val="true"/>
        </w:rPr>
        <w:t xml:space="preserve">, </w:t>
      </w:r>
      <w:r>
        <w:rPr>
          <w:rtl w:val="true"/>
        </w:rPr>
        <w:t>אשר הוחרפו לאחר מות בנה</w:t>
      </w:r>
      <w:r>
        <w:rPr>
          <w:rtl w:val="true"/>
        </w:rPr>
        <w:t xml:space="preserve">, </w:t>
      </w:r>
      <w:r>
        <w:rPr>
          <w:rtl w:val="true"/>
        </w:rPr>
        <w:t>מתאבלת ובוכה לעיתים תכופות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נוכח ההחמרה במצב בריאותה היא מתקשה להמשיך לתפקד כעקרת 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36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ני המשפחה מסרו כי אחיו של המנוח</w:t>
      </w:r>
      <w:r>
        <w:rPr>
          <w:rtl w:val="true"/>
        </w:rPr>
        <w:t xml:space="preserve">, </w:t>
      </w:r>
      <w:r>
        <w:rPr>
          <w:rtl w:val="true"/>
        </w:rPr>
        <w:t>אשר פינה אותו לקבלת טיפול רפואי</w:t>
      </w:r>
      <w:r>
        <w:rPr>
          <w:rtl w:val="true"/>
        </w:rPr>
        <w:t xml:space="preserve">, </w:t>
      </w:r>
      <w:r>
        <w:rPr>
          <w:rtl w:val="true"/>
        </w:rPr>
        <w:t>סובל מאז האירוע ממיגרנות קשות ולחצים נפשיים</w:t>
      </w:r>
      <w:r>
        <w:rPr>
          <w:rtl w:val="true"/>
        </w:rPr>
        <w:t xml:space="preserve">, </w:t>
      </w:r>
      <w:r>
        <w:rPr>
          <w:rtl w:val="true"/>
        </w:rPr>
        <w:t>ונושא בליבו תחושת אשם על כך שלא עלה בידו להציל את אחיו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ע</w:t>
      </w:r>
      <w:r>
        <w:rPr>
          <w:rtl w:val="true"/>
        </w:rPr>
        <w:t>וד עולה מהתסקיר</w:t>
      </w:r>
      <w:r>
        <w:rPr>
          <w:rtl w:val="true"/>
        </w:rPr>
        <w:t xml:space="preserve">, </w:t>
      </w:r>
      <w:r>
        <w:rPr>
          <w:rtl w:val="true"/>
        </w:rPr>
        <w:t>כי מדובר במשפחה חמה ותומכת</w:t>
      </w:r>
      <w:r>
        <w:rPr>
          <w:rtl w:val="true"/>
        </w:rPr>
        <w:t xml:space="preserve">, </w:t>
      </w:r>
      <w:r>
        <w:rPr>
          <w:rtl w:val="true"/>
        </w:rPr>
        <w:t>וכי מעת האירוע הם נמנעים מאירועים משמחים ואינם חוגגים את חגיהם</w:t>
      </w:r>
      <w:r>
        <w:rPr>
          <w:rtl w:val="true"/>
        </w:rPr>
        <w:t xml:space="preserve">, </w:t>
      </w:r>
      <w:r>
        <w:rPr>
          <w:rtl w:val="true"/>
        </w:rPr>
        <w:t>כפי שנהגו עובר לקרות האירוע</w:t>
      </w:r>
      <w:r>
        <w:rPr>
          <w:rtl w:val="true"/>
        </w:rPr>
        <w:t xml:space="preserve">. </w:t>
      </w:r>
      <w:r>
        <w:rPr>
          <w:rtl w:val="true"/>
        </w:rPr>
        <w:t>הוריו של המנוח נתונים בקשיים כלכליים ונעזרים רבות בילדיהם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מצוין בתסקיר כי בעקבות האירוע נפגע</w:t>
      </w:r>
      <w:r>
        <w:rPr>
          <w:rtl w:val="true"/>
        </w:rPr>
        <w:t xml:space="preserve">, </w:t>
      </w:r>
      <w:r>
        <w:rPr>
          <w:rtl w:val="true"/>
        </w:rPr>
        <w:t>באופן משמעותי</w:t>
      </w:r>
      <w:r>
        <w:rPr>
          <w:rtl w:val="true"/>
        </w:rPr>
        <w:t xml:space="preserve">, </w:t>
      </w:r>
      <w:r>
        <w:rPr>
          <w:rtl w:val="true"/>
        </w:rPr>
        <w:t xml:space="preserve">ביטחונם האישי של כל בני המשפחה </w:t>
      </w:r>
      <w:r>
        <w:rPr>
          <w:rtl w:val="true"/>
        </w:rPr>
        <w:t xml:space="preserve">– </w:t>
      </w:r>
      <w:r>
        <w:rPr>
          <w:rtl w:val="true"/>
        </w:rPr>
        <w:t xml:space="preserve">שחלקם נכחו באירוע ונאלצו לחזות במנוח בעודו מוטל פצוע </w:t>
      </w:r>
      <w:r>
        <w:rPr>
          <w:rtl w:val="true"/>
        </w:rPr>
        <w:t xml:space="preserve">– </w:t>
      </w:r>
      <w:r>
        <w:rPr>
          <w:rtl w:val="true"/>
        </w:rPr>
        <w:t>והם נמנעים משהייה מחוץ לביתם</w:t>
      </w:r>
      <w:r>
        <w:rPr>
          <w:rtl w:val="true"/>
        </w:rPr>
        <w:t xml:space="preserve">. </w:t>
      </w:r>
      <w:r>
        <w:rPr>
          <w:rtl w:val="true"/>
        </w:rPr>
        <w:t>אחיותיו הנשואות של המנוח</w:t>
      </w:r>
      <w:r>
        <w:rPr>
          <w:rtl w:val="true"/>
        </w:rPr>
        <w:t xml:space="preserve">, </w:t>
      </w:r>
      <w:r>
        <w:rPr>
          <w:rtl w:val="true"/>
        </w:rPr>
        <w:t>אשר נהגו לבקר בבית הוריהן מדי שבוע</w:t>
      </w:r>
      <w:r>
        <w:rPr>
          <w:rtl w:val="true"/>
        </w:rPr>
        <w:t xml:space="preserve">, </w:t>
      </w:r>
      <w:r>
        <w:rPr>
          <w:rtl w:val="true"/>
        </w:rPr>
        <w:t>צמצמו את ביקוריהן לכדי ביקור אחת לשלושה חודשים לערך</w:t>
      </w:r>
      <w:r>
        <w:rPr>
          <w:rtl w:val="true"/>
        </w:rPr>
        <w:t xml:space="preserve">, </w:t>
      </w:r>
      <w:r>
        <w:rPr>
          <w:rtl w:val="true"/>
        </w:rPr>
        <w:t>כאשר כל ביקור מאופיין במתח וחרדה רבים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כ</w:t>
      </w:r>
      <w:r>
        <w:rPr>
          <w:rtl w:val="true"/>
        </w:rPr>
        <w:t>ל בני המשפחה חווים קשיים משמעותיים בשינה</w:t>
      </w:r>
      <w:r>
        <w:rPr>
          <w:rtl w:val="true"/>
        </w:rPr>
        <w:t xml:space="preserve">, </w:t>
      </w:r>
      <w:r>
        <w:rPr>
          <w:rtl w:val="true"/>
        </w:rPr>
        <w:t>סובלים מהתעוררויות תכופות ומסיוטים</w:t>
      </w:r>
      <w:r>
        <w:rPr>
          <w:rtl w:val="true"/>
        </w:rPr>
        <w:t xml:space="preserve">, </w:t>
      </w:r>
      <w:r>
        <w:rPr>
          <w:rtl w:val="true"/>
        </w:rPr>
        <w:t>אי שקט תמידי ודריכות</w:t>
      </w:r>
      <w:r>
        <w:rPr>
          <w:rtl w:val="true"/>
        </w:rPr>
        <w:t xml:space="preserve">, </w:t>
      </w:r>
      <w:r>
        <w:rPr>
          <w:rtl w:val="true"/>
        </w:rPr>
        <w:t>עוררות יתר</w:t>
      </w:r>
      <w:r>
        <w:rPr>
          <w:rtl w:val="true"/>
        </w:rPr>
        <w:t xml:space="preserve">, </w:t>
      </w:r>
      <w:r>
        <w:rPr>
          <w:rtl w:val="true"/>
        </w:rPr>
        <w:t>מחשבות טורדניות וירידה משמעותית בתאבון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כ</w:t>
      </w:r>
      <w:r>
        <w:rPr>
          <w:rtl w:val="true"/>
        </w:rPr>
        <w:t>מו כן</w:t>
      </w:r>
      <w:r>
        <w:rPr>
          <w:rtl w:val="true"/>
        </w:rPr>
        <w:t xml:space="preserve">, </w:t>
      </w:r>
      <w:r>
        <w:rPr>
          <w:rtl w:val="true"/>
        </w:rPr>
        <w:t xml:space="preserve">מתוארת דאגת יתר הדדית של בני המשפחה </w:t>
      </w:r>
      <w:r>
        <w:rPr>
          <w:rtl w:val="true"/>
        </w:rPr>
        <w:t xml:space="preserve">– </w:t>
      </w:r>
      <w:r>
        <w:rPr>
          <w:rtl w:val="true"/>
        </w:rPr>
        <w:t>הורים כלפי הילדים ולהפך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>
          <w:b/>
          <w:bCs/>
          <w:u w:val="single"/>
        </w:rPr>
      </w:pPr>
      <w:r>
        <w:rPr>
          <w:rtl w:val="true"/>
        </w:rPr>
        <w:t>ע</w:t>
      </w:r>
      <w:r>
        <w:rPr>
          <w:rtl w:val="true"/>
        </w:rPr>
        <w:t>וד מצוין בתסקיר</w:t>
      </w:r>
      <w:r>
        <w:rPr>
          <w:rtl w:val="true"/>
        </w:rPr>
        <w:t xml:space="preserve">, </w:t>
      </w:r>
      <w:r>
        <w:rPr>
          <w:rtl w:val="true"/>
        </w:rPr>
        <w:t>כי חשוב מאוד לבני המשפחה שיוטל על הנאשם עונש מאסר ארוך ומשמעותי</w:t>
      </w:r>
      <w:r>
        <w:rPr>
          <w:rtl w:val="true"/>
        </w:rPr>
        <w:t xml:space="preserve">, </w:t>
      </w:r>
      <w:r>
        <w:rPr>
          <w:rtl w:val="true"/>
        </w:rPr>
        <w:t>שישקף את ההכרה בחומרת מעשיו והפגיעה הקשה בהם</w:t>
      </w:r>
      <w:r>
        <w:rPr>
          <w:rtl w:val="true"/>
        </w:rPr>
        <w:t xml:space="preserve">, </w:t>
      </w:r>
      <w:r>
        <w:rPr>
          <w:rtl w:val="true"/>
        </w:rPr>
        <w:t>וזאת בנוסף לפיצוי כספי אשר עשוי לסייע בתהליך שיקומם האישי והמשפחתי</w:t>
      </w:r>
      <w:r>
        <w:rPr>
          <w:rtl w:val="true"/>
        </w:rPr>
        <w:t xml:space="preserve">, </w:t>
      </w:r>
      <w:r>
        <w:rPr>
          <w:rtl w:val="true"/>
        </w:rPr>
        <w:t>אם יבחרו בכך בעתיד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</w:t>
      </w:r>
      <w:r>
        <w:rPr>
          <w:b/>
          <w:b/>
          <w:bCs/>
          <w:u w:val="single"/>
          <w:rtl w:val="true"/>
        </w:rPr>
        <w:t>נות המאשימה לעניין העונש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טיעוניה ביקשה באת כוח המאשימה כי נקבע שבהתאם לעובדות המקרה דנן מדובר בשני אירועים עבריינים נפרדים</w:t>
      </w:r>
      <w:r>
        <w:rPr>
          <w:rtl w:val="true"/>
        </w:rPr>
        <w:t xml:space="preserve">, </w:t>
      </w:r>
      <w:r>
        <w:rPr>
          <w:rtl w:val="true"/>
        </w:rPr>
        <w:t xml:space="preserve">כאשר 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אירוע המרכזי</w:t>
      </w:r>
      <w:r>
        <w:rPr>
          <w:rtl w:val="true"/>
        </w:rPr>
        <w:t xml:space="preserve"> </w:t>
      </w:r>
      <w:r>
        <w:rPr>
          <w:rtl w:val="true"/>
        </w:rPr>
        <w:t>כולל את עבירות ההריגה</w:t>
      </w:r>
      <w:r>
        <w:rPr>
          <w:rtl w:val="true"/>
        </w:rPr>
        <w:t xml:space="preserve">,  </w:t>
      </w:r>
      <w:r>
        <w:rPr>
          <w:rtl w:val="true"/>
        </w:rPr>
        <w:t>נשיאה והובלה של נשק ותחמושת</w:t>
      </w:r>
      <w:r>
        <w:rPr>
          <w:rtl w:val="true"/>
        </w:rPr>
        <w:t xml:space="preserve">, </w:t>
      </w:r>
      <w:r>
        <w:rPr>
          <w:rtl w:val="true"/>
        </w:rPr>
        <w:t xml:space="preserve">השמדת ראיות ושיבוש מהלכי משפט </w:t>
      </w:r>
      <w:r>
        <w:rPr>
          <w:rtl w:val="true"/>
        </w:rPr>
        <w:t xml:space="preserve">– </w:t>
      </w:r>
      <w:r>
        <w:rPr>
          <w:rtl w:val="true"/>
        </w:rPr>
        <w:t xml:space="preserve">לגביו מתחם הענישה הראוי נע בין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והאירוע העברייני 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נוסף</w:t>
      </w:r>
      <w:r>
        <w:rPr>
          <w:rtl w:val="true"/>
        </w:rPr>
        <w:t xml:space="preserve"> </w:t>
      </w:r>
      <w:r>
        <w:rPr>
          <w:rtl w:val="true"/>
        </w:rPr>
        <w:t>הוא החזקת נשק ותחמושת בידי הנאשם</w:t>
      </w:r>
      <w:r>
        <w:rPr>
          <w:rtl w:val="true"/>
        </w:rPr>
        <w:t xml:space="preserve">, </w:t>
      </w:r>
      <w:r>
        <w:rPr>
          <w:rtl w:val="true"/>
        </w:rPr>
        <w:t>ללא רישיון</w:t>
      </w:r>
      <w:r>
        <w:rPr>
          <w:rtl w:val="true"/>
        </w:rPr>
        <w:t xml:space="preserve">, </w:t>
      </w:r>
      <w:r>
        <w:rPr>
          <w:rtl w:val="true"/>
        </w:rPr>
        <w:t>משך מספר חודשים עובר להריגתו של המנוח</w:t>
      </w:r>
      <w:r>
        <w:rPr>
          <w:rtl w:val="true"/>
        </w:rPr>
        <w:t xml:space="preserve">, </w:t>
      </w:r>
      <w:r>
        <w:rPr>
          <w:rtl w:val="true"/>
        </w:rPr>
        <w:t>שמתחם הענישה המתאים לגביו הינו בטווח שבין שנתיים 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ביקשה באת כוח המאשימה שנגזור על הנאשם עונשים בגין כל אירוע עברייני כאמור בנפרד</w:t>
      </w:r>
      <w:r>
        <w:rPr>
          <w:rtl w:val="true"/>
        </w:rPr>
        <w:t xml:space="preserve">, </w:t>
      </w:r>
      <w:r>
        <w:rPr>
          <w:rtl w:val="true"/>
        </w:rPr>
        <w:t xml:space="preserve">ושיהא זה </w:t>
      </w:r>
      <w:r>
        <w:rPr>
          <w:rtl w:val="true"/>
        </w:rPr>
        <w:t xml:space="preserve">- </w:t>
      </w:r>
      <w:r>
        <w:rPr>
          <w:rtl w:val="true"/>
        </w:rPr>
        <w:t xml:space="preserve">לגבי שני האירועים </w:t>
      </w:r>
      <w:r>
        <w:rPr>
          <w:rtl w:val="true"/>
        </w:rPr>
        <w:t xml:space="preserve">- </w:t>
      </w:r>
      <w:r>
        <w:rPr>
          <w:rtl w:val="true"/>
        </w:rPr>
        <w:t>ברף העליון של 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כ</w:t>
      </w:r>
      <w:r>
        <w:rPr>
          <w:rtl w:val="true"/>
        </w:rPr>
        <w:t>ן ציינה באת כוח המאשימה</w:t>
      </w:r>
      <w:r>
        <w:rPr>
          <w:rtl w:val="true"/>
        </w:rPr>
        <w:t xml:space="preserve">, </w:t>
      </w:r>
      <w:r>
        <w:rPr>
          <w:rtl w:val="true"/>
        </w:rPr>
        <w:t>כי לדידה</w:t>
      </w:r>
      <w:r>
        <w:rPr>
          <w:rtl w:val="true"/>
        </w:rPr>
        <w:t xml:space="preserve">, </w:t>
      </w:r>
      <w:r>
        <w:rPr>
          <w:rtl w:val="true"/>
        </w:rPr>
        <w:t>אין הצדקה לנכות מעונש המאסר שייגזר על הנאשם את ימי המעצר</w:t>
      </w:r>
      <w:r>
        <w:rPr>
          <w:rtl w:val="true"/>
        </w:rPr>
        <w:t xml:space="preserve">, </w:t>
      </w:r>
      <w:r>
        <w:rPr>
          <w:rtl w:val="true"/>
        </w:rPr>
        <w:t>מאחר וממילא הנאשם הינו אסיר אשר מרצה עונש מאסר בגין עבירה קודמת</w:t>
      </w:r>
      <w:r>
        <w:rPr>
          <w:rtl w:val="true"/>
        </w:rPr>
        <w:t xml:space="preserve">, </w:t>
      </w:r>
      <w:r>
        <w:rPr>
          <w:rtl w:val="true"/>
        </w:rPr>
        <w:t>וכי לכל היותר</w:t>
      </w:r>
      <w:r>
        <w:rPr>
          <w:rtl w:val="true"/>
        </w:rPr>
        <w:t xml:space="preserve">, </w:t>
      </w:r>
      <w:r>
        <w:rPr>
          <w:rtl w:val="true"/>
        </w:rPr>
        <w:t xml:space="preserve">יש לנכות </w:t>
      </w:r>
      <w:r>
        <w:rPr/>
        <w:t>109</w:t>
      </w:r>
      <w:r>
        <w:rPr>
          <w:rtl w:val="true"/>
        </w:rPr>
        <w:t xml:space="preserve"> </w:t>
      </w:r>
      <w:r>
        <w:rPr>
          <w:rtl w:val="true"/>
        </w:rPr>
        <w:t>ימים בהם הוא היה עצור</w:t>
      </w:r>
      <w:r>
        <w:rPr>
          <w:rtl w:val="true"/>
        </w:rPr>
        <w:t xml:space="preserve">. </w:t>
      </w:r>
      <w:r>
        <w:rPr>
          <w:rtl w:val="true"/>
        </w:rPr>
        <w:t>באת כוח המאשימה הוסיפה כי אין מקום לקבוע כי מאסרו יהא בחופף לעונש אותו הוא מרצה כיום בשל העבירה האחרת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את כוח המאשימה עמדה על הערכים המוגנים העומדים בבסיס העבירות בהן הורשע הנאשם</w:t>
      </w:r>
      <w:r>
        <w:rPr>
          <w:rtl w:val="true"/>
        </w:rPr>
        <w:t xml:space="preserve">: </w:t>
      </w:r>
      <w:r>
        <w:rPr>
          <w:rtl w:val="true"/>
        </w:rPr>
        <w:t>קדושת החיים ושלמות הגוף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עמדה באת כוח המאשימה על החשיבות שבניהולו התקין של ההליך השיפוטי</w:t>
      </w:r>
      <w:r>
        <w:rPr>
          <w:rtl w:val="true"/>
        </w:rPr>
        <w:t xml:space="preserve">, </w:t>
      </w:r>
      <w:r>
        <w:rPr>
          <w:rtl w:val="true"/>
        </w:rPr>
        <w:t>חשיפת האמת ועשיית צדק</w:t>
      </w:r>
      <w:r>
        <w:rPr>
          <w:rtl w:val="true"/>
        </w:rPr>
        <w:t xml:space="preserve">. </w:t>
      </w:r>
      <w:r>
        <w:rPr>
          <w:rtl w:val="true"/>
        </w:rPr>
        <w:t>בהקשר זה ציינה באת כוח המאשימה</w:t>
      </w:r>
      <w:r>
        <w:rPr>
          <w:rtl w:val="true"/>
        </w:rPr>
        <w:t xml:space="preserve">, </w:t>
      </w:r>
      <w:r>
        <w:rPr>
          <w:rtl w:val="true"/>
        </w:rPr>
        <w:t>כי לאחר שירה במנוח</w:t>
      </w:r>
      <w:r>
        <w:rPr>
          <w:rtl w:val="true"/>
        </w:rPr>
        <w:t xml:space="preserve">, </w:t>
      </w:r>
      <w:r>
        <w:rPr>
          <w:rtl w:val="true"/>
        </w:rPr>
        <w:t>דאג הנאשם</w:t>
      </w:r>
      <w:r>
        <w:rPr>
          <w:rtl w:val="true"/>
        </w:rPr>
        <w:t xml:space="preserve">, </w:t>
      </w:r>
      <w:r>
        <w:rPr>
          <w:rtl w:val="true"/>
        </w:rPr>
        <w:t>בקור רוח</w:t>
      </w:r>
      <w:r>
        <w:rPr>
          <w:rtl w:val="true"/>
        </w:rPr>
        <w:t xml:space="preserve">, </w:t>
      </w:r>
      <w:r>
        <w:rPr>
          <w:rtl w:val="true"/>
        </w:rPr>
        <w:t>להשמיד את הבגדים ואת הנשק ששמשו אותו</w:t>
      </w:r>
      <w:r>
        <w:rPr>
          <w:rtl w:val="true"/>
        </w:rPr>
        <w:t xml:space="preserve">, </w:t>
      </w:r>
      <w:r>
        <w:rPr>
          <w:rtl w:val="true"/>
        </w:rPr>
        <w:t>וניסה להעלים גם את הטלפון הנייד</w:t>
      </w:r>
      <w:r>
        <w:rPr>
          <w:rtl w:val="true"/>
        </w:rPr>
        <w:t xml:space="preserve">, </w:t>
      </w:r>
      <w:r>
        <w:rPr>
          <w:rtl w:val="true"/>
        </w:rPr>
        <w:t>אותו שכח בזירת האירוע</w:t>
      </w:r>
      <w:r>
        <w:rPr>
          <w:rtl w:val="true"/>
        </w:rPr>
        <w:t xml:space="preserve">. </w:t>
      </w:r>
      <w:r>
        <w:rPr>
          <w:rtl w:val="true"/>
        </w:rPr>
        <w:t>באת כוח המאשימה מדגישה</w:t>
      </w:r>
      <w:r>
        <w:rPr>
          <w:rtl w:val="true"/>
        </w:rPr>
        <w:t xml:space="preserve">, </w:t>
      </w:r>
      <w:r>
        <w:rPr>
          <w:rtl w:val="true"/>
        </w:rPr>
        <w:t>כי לו היה עולה בידי הנאשם להעלים את הטלפון הנייד כאמור</w:t>
      </w:r>
      <w:r>
        <w:rPr>
          <w:rtl w:val="true"/>
        </w:rPr>
        <w:t xml:space="preserve">, </w:t>
      </w:r>
      <w:r>
        <w:rPr>
          <w:rtl w:val="true"/>
        </w:rPr>
        <w:t>ייתכן שהוא כלל לא היה נתפס ועומד לדין על 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ל</w:t>
      </w:r>
      <w:r>
        <w:rPr>
          <w:rtl w:val="true"/>
        </w:rPr>
        <w:t>שיטת המאשימה</w:t>
      </w:r>
      <w:r>
        <w:rPr>
          <w:rtl w:val="true"/>
        </w:rPr>
        <w:t xml:space="preserve">, </w:t>
      </w:r>
      <w:r>
        <w:rPr>
          <w:rtl w:val="true"/>
        </w:rPr>
        <w:t>יש להתייחס בחומרה לנסיבות העבירה במקרה דנן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יש ליתן את הדעת לעובדה שאין מדובר במעשה ספונטני</w:t>
      </w:r>
      <w:r>
        <w:rPr>
          <w:rtl w:val="true"/>
        </w:rPr>
        <w:t xml:space="preserve">, </w:t>
      </w:r>
      <w:r>
        <w:rPr>
          <w:rtl w:val="true"/>
        </w:rPr>
        <w:t>אלא בעבירות מתוכננות ויזומות על ידי הנאשם</w:t>
      </w:r>
      <w:r>
        <w:rPr>
          <w:rtl w:val="true"/>
        </w:rPr>
        <w:t xml:space="preserve">, </w:t>
      </w:r>
      <w:r>
        <w:rPr>
          <w:rtl w:val="true"/>
        </w:rPr>
        <w:t>אשר למד פרטים על אורח חייו של המנוח וארב זמן ממושך מול ביתו</w:t>
      </w:r>
      <w:r>
        <w:rPr>
          <w:rtl w:val="true"/>
        </w:rPr>
        <w:t xml:space="preserve">, </w:t>
      </w:r>
      <w:r>
        <w:rPr>
          <w:rtl w:val="true"/>
        </w:rPr>
        <w:t>בעודו רעול פנים ומצויד בנשק ובשתי מחסניות</w:t>
      </w:r>
      <w:r>
        <w:rPr>
          <w:rtl w:val="true"/>
        </w:rPr>
        <w:t xml:space="preserve">. </w:t>
      </w:r>
    </w:p>
    <w:p>
      <w:pPr>
        <w:pStyle w:val="1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את כוח המאשימה הטעימה</w:t>
      </w:r>
      <w:r>
        <w:rPr>
          <w:rtl w:val="true"/>
        </w:rPr>
        <w:t xml:space="preserve">, </w:t>
      </w:r>
      <w:r>
        <w:rPr>
          <w:rtl w:val="true"/>
        </w:rPr>
        <w:t>כי בנסיבות העניין לא היה כל קינטור מצד המנוח כלפי הנאשם וגם לא היה כל סכסוך ביניהם</w:t>
      </w:r>
      <w:r>
        <w:rPr>
          <w:rtl w:val="true"/>
        </w:rPr>
        <w:t xml:space="preserve">, </w:t>
      </w:r>
      <w:r>
        <w:rPr>
          <w:rtl w:val="true"/>
        </w:rPr>
        <w:t>וכי הנאשם החליט לפגוע במנוח באופן קשה</w:t>
      </w:r>
      <w:r>
        <w:rPr>
          <w:rtl w:val="true"/>
        </w:rPr>
        <w:t xml:space="preserve">, </w:t>
      </w:r>
      <w:r>
        <w:rPr>
          <w:rtl w:val="true"/>
        </w:rPr>
        <w:t>רק משום שחשד שהמנוח משתף פעולה עם המשטרה ומוסר לה מידע בנוגע לקרוביו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את כוח המאשימה הצביעה על תסקיר המבחן השלילי של הנאשם</w:t>
      </w:r>
      <w:r>
        <w:rPr>
          <w:rtl w:val="true"/>
        </w:rPr>
        <w:t xml:space="preserve">, </w:t>
      </w:r>
      <w:r>
        <w:rPr>
          <w:rtl w:val="true"/>
        </w:rPr>
        <w:t>ממנו עולה כי הנאשם אינו מקבל אחריות על מעשיו</w:t>
      </w:r>
      <w:r>
        <w:rPr>
          <w:rtl w:val="true"/>
        </w:rPr>
        <w:t xml:space="preserve">, </w:t>
      </w:r>
      <w:r>
        <w:rPr>
          <w:rtl w:val="true"/>
        </w:rPr>
        <w:t>אינו מביע חרטה ותולה את האשם במותו של המנוח בטיפול הרפואי שניתן לו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ציינה באת כוח המאשימה שהאמפתיה של הנאשם נתונה לעצמו בלבד</w:t>
      </w:r>
      <w:r>
        <w:rPr>
          <w:rtl w:val="true"/>
        </w:rPr>
        <w:t xml:space="preserve">, </w:t>
      </w:r>
      <w:r>
        <w:rPr>
          <w:rtl w:val="true"/>
        </w:rPr>
        <w:t>ושהוא אינו מבין את השפעתם של מעשיו על בני משפחתו של המנוח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כ</w:t>
      </w:r>
      <w:r>
        <w:rPr>
          <w:rtl w:val="true"/>
        </w:rPr>
        <w:t>מו כן</w:t>
      </w:r>
      <w:r>
        <w:rPr>
          <w:rtl w:val="true"/>
        </w:rPr>
        <w:t xml:space="preserve">, </w:t>
      </w:r>
      <w:r>
        <w:rPr>
          <w:rtl w:val="true"/>
        </w:rPr>
        <w:t>ציינה באת כוח המאשימה</w:t>
      </w:r>
      <w:r>
        <w:rPr>
          <w:rtl w:val="true"/>
        </w:rPr>
        <w:t xml:space="preserve">, </w:t>
      </w:r>
      <w:r>
        <w:rPr>
          <w:rtl w:val="true"/>
        </w:rPr>
        <w:t>כי בהתאם להתרשמותו של שירות המבחן</w:t>
      </w:r>
      <w:r>
        <w:rPr>
          <w:rtl w:val="true"/>
        </w:rPr>
        <w:t xml:space="preserve">, </w:t>
      </w:r>
      <w:r>
        <w:rPr>
          <w:rtl w:val="true"/>
        </w:rPr>
        <w:t>קיים סיכון להתנהגות בעייתית ופוגענית מצד הנאשם</w:t>
      </w:r>
      <w:r>
        <w:rPr>
          <w:rtl w:val="true"/>
        </w:rPr>
        <w:t xml:space="preserve">, </w:t>
      </w:r>
      <w:r>
        <w:rPr>
          <w:rtl w:val="true"/>
        </w:rPr>
        <w:t>גם בעתיד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מפנה באת כוח המאשימה לתסקיר נפגעי העבירה ומציינת שהכאב והנזק שנגרמו לבני משפחתו של המנוח הינם קשים מנשוא ושחרף הסולחה</w:t>
      </w:r>
      <w:r>
        <w:rPr>
          <w:rtl w:val="true"/>
        </w:rPr>
        <w:t xml:space="preserve">, </w:t>
      </w:r>
      <w:r>
        <w:rPr>
          <w:rtl w:val="true"/>
        </w:rPr>
        <w:t>הם ממשיכים להרגיש מאוימים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ל</w:t>
      </w:r>
      <w:r>
        <w:rPr>
          <w:rtl w:val="true"/>
        </w:rPr>
        <w:t>סיכום</w:t>
      </w:r>
      <w:r>
        <w:rPr>
          <w:rtl w:val="true"/>
        </w:rPr>
        <w:t xml:space="preserve">, </w:t>
      </w:r>
      <w:r>
        <w:rPr>
          <w:rtl w:val="true"/>
        </w:rPr>
        <w:t>הפנתה באת כוח המאשימה לפסיקה רלבנטית לטעמה</w:t>
      </w:r>
      <w:r>
        <w:rPr>
          <w:rtl w:val="true"/>
        </w:rPr>
        <w:t xml:space="preserve">, </w:t>
      </w:r>
      <w:r>
        <w:rPr>
          <w:rtl w:val="true"/>
        </w:rPr>
        <w:t xml:space="preserve">וביקשה להשית על הנאשם </w:t>
      </w:r>
      <w:r>
        <w:rPr>
          <w:rtl w:val="true"/>
        </w:rPr>
        <w:t xml:space="preserve">– </w:t>
      </w:r>
      <w:r>
        <w:rPr>
          <w:rtl w:val="true"/>
        </w:rPr>
        <w:t xml:space="preserve">בשל חומרת מעשיו והצורך בהרתעת הרבים </w:t>
      </w:r>
      <w:r>
        <w:rPr>
          <w:rtl w:val="true"/>
        </w:rPr>
        <w:t xml:space="preserve">– </w:t>
      </w:r>
      <w:r>
        <w:rPr>
          <w:rtl w:val="true"/>
        </w:rPr>
        <w:t>עונש מאסר ממושך ומכביד</w:t>
      </w:r>
      <w:r>
        <w:rPr>
          <w:rtl w:val="true"/>
        </w:rPr>
        <w:t xml:space="preserve">, </w:t>
      </w:r>
      <w:r>
        <w:rPr>
          <w:rtl w:val="true"/>
        </w:rPr>
        <w:t>ברף העליון של מתחם הענישה</w:t>
      </w:r>
      <w:r>
        <w:rPr>
          <w:rtl w:val="true"/>
        </w:rPr>
        <w:t xml:space="preserve">, </w:t>
      </w:r>
      <w:r>
        <w:rPr>
          <w:rtl w:val="true"/>
        </w:rPr>
        <w:t>בגין כל אחד מהאירועים העבריינים</w:t>
      </w:r>
      <w:r>
        <w:rPr>
          <w:rtl w:val="true"/>
        </w:rPr>
        <w:t xml:space="preserve">, </w:t>
      </w:r>
      <w:r>
        <w:rPr>
          <w:rtl w:val="true"/>
        </w:rPr>
        <w:t>ולהורות שהם ירוצו במצטבר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ביקשה באת כוח המאשימה להטיל על הנאשם מאסר על תנאי ארוך ומרתיע וכן פיצוי גבוה למשפחתו של המנוח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</w:t>
      </w:r>
      <w:r>
        <w:rPr>
          <w:b/>
          <w:b/>
          <w:bCs/>
          <w:u w:val="single"/>
          <w:rtl w:val="true"/>
        </w:rPr>
        <w:t>נות 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הנאשם לעניין העונש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ל</w:t>
      </w:r>
      <w:r>
        <w:rPr>
          <w:rtl w:val="true"/>
        </w:rPr>
        <w:t>עומת המאשימה</w:t>
      </w:r>
      <w:r>
        <w:rPr>
          <w:rtl w:val="true"/>
        </w:rPr>
        <w:t xml:space="preserve">, </w:t>
      </w:r>
      <w:r>
        <w:rPr>
          <w:rtl w:val="true"/>
        </w:rPr>
        <w:t>טוענת באת כוחו של הנאשם</w:t>
      </w:r>
      <w:r>
        <w:rPr>
          <w:rtl w:val="true"/>
        </w:rPr>
        <w:t xml:space="preserve">, </w:t>
      </w:r>
      <w:r>
        <w:rPr>
          <w:rtl w:val="true"/>
        </w:rPr>
        <w:t>כי העבירות בהן הורשע הנאשם נובעות ממסכת עובדתית אחת</w:t>
      </w:r>
      <w:r>
        <w:rPr>
          <w:rtl w:val="true"/>
        </w:rPr>
        <w:t xml:space="preserve">, </w:t>
      </w:r>
      <w:r>
        <w:rPr>
          <w:rtl w:val="true"/>
        </w:rPr>
        <w:t>כך שיש להטיל בגינן עונש כולל</w:t>
      </w:r>
      <w:r>
        <w:rPr>
          <w:rtl w:val="true"/>
        </w:rPr>
        <w:t xml:space="preserve">, </w:t>
      </w:r>
      <w:r>
        <w:rPr>
          <w:rtl w:val="true"/>
        </w:rPr>
        <w:t>בהתאם לנסיבות התיק</w:t>
      </w:r>
      <w:r>
        <w:rPr>
          <w:rtl w:val="true"/>
        </w:rPr>
        <w:t xml:space="preserve">.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 xml:space="preserve">מתחם הענישה ההולם בנסיבות המקרה נע בין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מיום מעצרו של הנאשם</w:t>
      </w:r>
      <w:r>
        <w:rPr>
          <w:rtl w:val="true"/>
        </w:rPr>
        <w:t xml:space="preserve">, </w:t>
      </w:r>
      <w:r>
        <w:rPr>
          <w:rtl w:val="true"/>
        </w:rPr>
        <w:t>במדרג התחתון של עבירת ההריגה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טיעוניה</w:t>
      </w:r>
      <w:r>
        <w:rPr>
          <w:rtl w:val="true"/>
        </w:rPr>
        <w:t xml:space="preserve">, </w:t>
      </w:r>
      <w:r>
        <w:rPr>
          <w:rtl w:val="true"/>
        </w:rPr>
        <w:t>מדגישה באת כוחו של הנאשם את היעדר יסוד הכוונה</w:t>
      </w:r>
      <w:r>
        <w:rPr>
          <w:rtl w:val="true"/>
        </w:rPr>
        <w:t xml:space="preserve">, </w:t>
      </w:r>
      <w:r>
        <w:rPr>
          <w:rtl w:val="true"/>
        </w:rPr>
        <w:t>ומבקשת כי ינתן משקל מינורי לתכנון שקדם לביצוע העבירה וכן</w:t>
      </w:r>
      <w:r>
        <w:rPr>
          <w:rtl w:val="true"/>
        </w:rPr>
        <w:t xml:space="preserve">, </w:t>
      </w:r>
      <w:r>
        <w:rPr>
          <w:rtl w:val="true"/>
        </w:rPr>
        <w:t>משקל מינורי לחלקו של הנאשם בגרימת התוצאה</w:t>
      </w:r>
      <w:r>
        <w:rPr>
          <w:rtl w:val="true"/>
        </w:rPr>
        <w:t xml:space="preserve">.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 xml:space="preserve">יש להקביל את תגובתו הספונטנית של הנאשם לתנועתו החשודה של המנוח </w:t>
      </w:r>
      <w:r>
        <w:rPr>
          <w:rtl w:val="true"/>
        </w:rPr>
        <w:t>–</w:t>
      </w:r>
      <w:r>
        <w:rPr>
          <w:rtl w:val="true"/>
        </w:rPr>
        <w:t xml:space="preserve"> למעשה הגנה עצמית</w:t>
      </w:r>
      <w:r>
        <w:rPr>
          <w:rtl w:val="true"/>
        </w:rPr>
        <w:t xml:space="preserve">, </w:t>
      </w:r>
      <w:r>
        <w:rPr>
          <w:rtl w:val="true"/>
        </w:rPr>
        <w:t>אשר מצדיק הטלת עונש חריג לקולא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ע</w:t>
      </w:r>
      <w:r>
        <w:rPr>
          <w:rtl w:val="true"/>
        </w:rPr>
        <w:t>וד מבקשת הסנגורית להתחשב לקולא בכך שהנאשם הודה הן במשטרה והן בפני בית המשפט</w:t>
      </w:r>
      <w:r>
        <w:rPr>
          <w:rtl w:val="true"/>
        </w:rPr>
        <w:t xml:space="preserve">, </w:t>
      </w:r>
      <w:r>
        <w:rPr>
          <w:rtl w:val="true"/>
        </w:rPr>
        <w:t>הביע צער עמוק ונטל אחריות למעשיו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אין לזקוף לחובתו של הנאשם את הצורך בניהול התיק</w:t>
      </w:r>
      <w:r>
        <w:rPr>
          <w:rtl w:val="true"/>
        </w:rPr>
        <w:t xml:space="preserve">, </w:t>
      </w:r>
      <w:r>
        <w:rPr>
          <w:rtl w:val="true"/>
        </w:rPr>
        <w:t>משום שזה נכפה על ההגנה עקב מחלוקת משפטית עם המאשימה</w:t>
      </w:r>
      <w:r>
        <w:rPr>
          <w:rtl w:val="true"/>
        </w:rPr>
        <w:t xml:space="preserve">, </w:t>
      </w:r>
      <w:r>
        <w:rPr>
          <w:rtl w:val="true"/>
        </w:rPr>
        <w:t>ועל אף הודאתו של הנאשם</w:t>
      </w:r>
      <w:r>
        <w:rPr>
          <w:rtl w:val="true"/>
        </w:rPr>
        <w:t xml:space="preserve">. </w:t>
      </w:r>
    </w:p>
    <w:p>
      <w:pPr>
        <w:pStyle w:val="1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ה</w:t>
      </w:r>
      <w:r>
        <w:rPr>
          <w:rtl w:val="true"/>
        </w:rPr>
        <w:t>סנגוריה הגישה לתיק בית המשפט את הסכם הסולחה שנערך בין משפחתו של הנאשם למשפחתו של המנוח</w:t>
      </w:r>
      <w:r>
        <w:rPr>
          <w:rtl w:val="true"/>
        </w:rPr>
        <w:t xml:space="preserve">, </w:t>
      </w:r>
      <w:r>
        <w:rPr>
          <w:rtl w:val="true"/>
        </w:rPr>
        <w:t xml:space="preserve">במסגרתו שולם למשפחתו של המנוח פיצוי כספי בסך </w:t>
      </w:r>
      <w:r>
        <w:rPr/>
        <w:t>450,000</w:t>
      </w:r>
      <w:r>
        <w:rPr>
          <w:rtl w:val="true"/>
        </w:rPr>
        <w:t xml:space="preserve"> ₪ </w:t>
      </w:r>
      <w:r>
        <w:rPr>
          <w:rtl w:val="true"/>
        </w:rPr>
        <w:t xml:space="preserve">ונקבע כי </w:t>
      </w:r>
      <w:r>
        <w:rPr>
          <w:rtl w:val="true"/>
        </w:rPr>
        <w:t>"</w:t>
      </w:r>
      <w:r>
        <w:rPr>
          <w:rtl w:val="true"/>
        </w:rPr>
        <w:t>הוא מהווה סיום מלא של הסכסוך בין הצדדים והחלת השלום והחמלה ביניהם</w:t>
      </w:r>
      <w:r>
        <w:rPr>
          <w:rtl w:val="true"/>
        </w:rPr>
        <w:t xml:space="preserve">, </w:t>
      </w:r>
      <w:r>
        <w:rPr>
          <w:rtl w:val="true"/>
        </w:rPr>
        <w:t>ולא יהיה לאף צד יותר טענות כלפי משנהו מכל מין וסוג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העיד בפנינו בעניין זה נציג ועדת הסולחה המחוזית</w:t>
      </w:r>
      <w:r>
        <w:rPr>
          <w:rtl w:val="true"/>
        </w:rPr>
        <w:t xml:space="preserve">, </w:t>
      </w:r>
      <w:r>
        <w:rPr>
          <w:rtl w:val="true"/>
        </w:rPr>
        <w:t xml:space="preserve">מר </w:t>
      </w:r>
      <w:r>
        <w:rPr>
          <w:rtl w:val="true"/>
        </w:rPr>
        <w:t>ס</w:t>
      </w:r>
      <w:r>
        <w:rPr>
          <w:rtl w:val="true"/>
        </w:rPr>
        <w:t>ודקי דהאמשה</w:t>
      </w:r>
      <w:r>
        <w:rPr>
          <w:rtl w:val="true"/>
        </w:rPr>
        <w:t xml:space="preserve">, </w:t>
      </w:r>
      <w:r>
        <w:rPr>
          <w:rtl w:val="true"/>
        </w:rPr>
        <w:t>ואישר את האמור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ית המשפט התבקש ליתן משקל מיוחד לסולחה שנערכה בין הצדדים</w:t>
      </w:r>
      <w:r>
        <w:rPr>
          <w:rtl w:val="true"/>
        </w:rPr>
        <w:t xml:space="preserve">, </w:t>
      </w:r>
      <w:r>
        <w:rPr>
          <w:rtl w:val="true"/>
        </w:rPr>
        <w:t>במסגרתה שולם פיצוי כספי גבוה למשפחתו של המנוח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והובעה חרטה כנה על מותו</w:t>
      </w:r>
      <w:r>
        <w:rPr>
          <w:rtl w:val="true"/>
        </w:rPr>
        <w:t xml:space="preserve">. </w:t>
      </w:r>
      <w:r>
        <w:rPr>
          <w:rtl w:val="true"/>
        </w:rPr>
        <w:t>נטען כי הסולחה נועדה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למנוע הישנותם של מקרי אלימות בין המעורבים</w:t>
      </w:r>
      <w:r>
        <w:rPr>
          <w:rtl w:val="true"/>
        </w:rPr>
        <w:t xml:space="preserve">, </w:t>
      </w:r>
      <w:r>
        <w:rPr>
          <w:rtl w:val="true"/>
        </w:rPr>
        <w:t>ובכך היא גם משרתת אינטרס ציבורי מובהק</w:t>
      </w:r>
      <w:r>
        <w:rPr>
          <w:rtl w:val="true"/>
        </w:rPr>
        <w:t xml:space="preserve">. </w:t>
      </w:r>
    </w:p>
    <w:p>
      <w:pPr>
        <w:pStyle w:val="1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התאמה</w:t>
      </w:r>
      <w:r>
        <w:rPr>
          <w:rtl w:val="true"/>
        </w:rPr>
        <w:t xml:space="preserve">, </w:t>
      </w:r>
      <w:r>
        <w:rPr>
          <w:rtl w:val="true"/>
        </w:rPr>
        <w:t>מבקשת באת כוחו של הנאשם מבית המשפט שיתעלם מהמסקנות בתסקיר המבחן</w:t>
      </w:r>
      <w:r>
        <w:rPr>
          <w:rtl w:val="true"/>
        </w:rPr>
        <w:t xml:space="preserve">, </w:t>
      </w:r>
      <w:r>
        <w:rPr>
          <w:rtl w:val="true"/>
        </w:rPr>
        <w:t>ככל שהן אינן עולות בקנה אחד עם החרטה שהביע הנאשם</w:t>
      </w:r>
      <w:r>
        <w:rPr>
          <w:rtl w:val="true"/>
        </w:rPr>
        <w:t xml:space="preserve">, </w:t>
      </w:r>
      <w:r>
        <w:rPr>
          <w:rtl w:val="true"/>
        </w:rPr>
        <w:t>בקשת הסליחה ממשפחתו של המנוח ונטילת האחריות למעשיו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עוד הוגשו לעיוננו תעודות שונות של הנאשם</w:t>
      </w:r>
      <w:r>
        <w:rPr>
          <w:rtl w:val="true"/>
        </w:rPr>
        <w:t xml:space="preserve">, </w:t>
      </w:r>
      <w:r>
        <w:rPr>
          <w:rtl w:val="true"/>
        </w:rPr>
        <w:t>המעידות על הצטיינותו במהלך שירותו הקרבי בצה</w:t>
      </w:r>
      <w:r>
        <w:rPr>
          <w:rtl w:val="true"/>
        </w:rPr>
        <w:t>"</w:t>
      </w:r>
      <w:r>
        <w:rPr>
          <w:rtl w:val="true"/>
        </w:rPr>
        <w:t>ל ועל הכשרות מקצועיות שעבר</w:t>
      </w:r>
      <w:r>
        <w:rPr>
          <w:rtl w:val="true"/>
        </w:rPr>
        <w:t>.</w:t>
      </w:r>
    </w:p>
    <w:p>
      <w:pPr>
        <w:pStyle w:val="1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את כוחו של הנאשם מציינת את הזמן הארוך בו נתון הנאשם במעצר ומדגישה</w:t>
      </w:r>
      <w:r>
        <w:rPr>
          <w:rtl w:val="true"/>
        </w:rPr>
        <w:t xml:space="preserve">, </w:t>
      </w:r>
      <w:r>
        <w:rPr>
          <w:rtl w:val="true"/>
        </w:rPr>
        <w:t>כי בהיותו בסטאטוס של עצור</w:t>
      </w:r>
      <w:r>
        <w:rPr>
          <w:rtl w:val="true"/>
        </w:rPr>
        <w:t xml:space="preserve">, </w:t>
      </w:r>
      <w:r>
        <w:rPr>
          <w:rtl w:val="true"/>
        </w:rPr>
        <w:t>נשללו ממנו טובות הנאה רבות ובכלל זה יציאה לחופשות</w:t>
      </w:r>
      <w:r>
        <w:rPr>
          <w:rtl w:val="true"/>
        </w:rPr>
        <w:t xml:space="preserve">, </w:t>
      </w:r>
      <w:r>
        <w:rPr>
          <w:rtl w:val="true"/>
        </w:rPr>
        <w:t>ניכוי שליש מתקופת מאסרו ועוד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את כוחו של הנאשם ביקשה לאבחן את הפסיקה עליה מסתמכת המאשימה בטיעוניה</w:t>
      </w:r>
      <w:r>
        <w:rPr>
          <w:rtl w:val="true"/>
        </w:rPr>
        <w:t xml:space="preserve">, </w:t>
      </w:r>
      <w:r>
        <w:rPr>
          <w:rtl w:val="true"/>
        </w:rPr>
        <w:t>על שום שהיא סבורה שהמקרים המתוארים שם חמורים בהרבה לעומת המקרה דנן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ל</w:t>
      </w:r>
      <w:r>
        <w:rPr>
          <w:rtl w:val="true"/>
        </w:rPr>
        <w:t>סיום</w:t>
      </w:r>
      <w:r>
        <w:rPr>
          <w:rtl w:val="true"/>
        </w:rPr>
        <w:t xml:space="preserve">, </w:t>
      </w:r>
      <w:r>
        <w:rPr>
          <w:rtl w:val="true"/>
        </w:rPr>
        <w:t>מבקשת באת כוחו של הנאשם שייקבע</w:t>
      </w:r>
      <w:r>
        <w:rPr>
          <w:rtl w:val="true"/>
        </w:rPr>
        <w:t xml:space="preserve">, </w:t>
      </w:r>
      <w:r>
        <w:rPr>
          <w:rtl w:val="true"/>
        </w:rPr>
        <w:t xml:space="preserve">בהתאם להוראת </w:t>
      </w:r>
      <w:hyperlink r:id="rId3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שהעונש שייגזר על הנאשם בהליך זה יהא בחופף לעונש המאסר אותו מרצה הנאשם בגין עבירה אחרת בה 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</w:t>
      </w:r>
      <w:r>
        <w:rPr>
          <w:b/>
          <w:b/>
          <w:bCs/>
          <w:u w:val="single"/>
          <w:rtl w:val="true"/>
        </w:rPr>
        <w:t>נאשם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ה</w:t>
      </w:r>
      <w:r>
        <w:rPr>
          <w:rtl w:val="true"/>
        </w:rPr>
        <w:t>נאשם עצמו ניצב לפנינו בעת הטיעונים לעונש</w:t>
      </w:r>
      <w:r>
        <w:rPr>
          <w:rtl w:val="true"/>
        </w:rPr>
        <w:t xml:space="preserve">, </w:t>
      </w:r>
      <w:r>
        <w:rPr>
          <w:rtl w:val="true"/>
        </w:rPr>
        <w:t>נשא דברי חרטה נרגשים</w:t>
      </w:r>
      <w:r>
        <w:rPr>
          <w:rtl w:val="true"/>
        </w:rPr>
        <w:t xml:space="preserve">, </w:t>
      </w:r>
      <w:r>
        <w:rPr>
          <w:rtl w:val="true"/>
        </w:rPr>
        <w:t>הביע צער על התוצאה שנגרמה</w:t>
      </w:r>
      <w:r>
        <w:rPr>
          <w:rtl w:val="true"/>
        </w:rPr>
        <w:t xml:space="preserve">, </w:t>
      </w:r>
      <w:r>
        <w:rPr>
          <w:rtl w:val="true"/>
        </w:rPr>
        <w:t>הדגיש שהוא מבין את החומרה וההשלכות של מעשיו</w:t>
      </w:r>
      <w:r>
        <w:rPr>
          <w:rtl w:val="true"/>
        </w:rPr>
        <w:t xml:space="preserve">, </w:t>
      </w:r>
      <w:r>
        <w:rPr>
          <w:rtl w:val="true"/>
        </w:rPr>
        <w:t>ואף ביקש לנצל את המעמד כדי להתנצל בפניו אביו של המנוח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כ</w:t>
      </w:r>
      <w:r>
        <w:rPr>
          <w:rtl w:val="true"/>
        </w:rPr>
        <w:t>ן ציין הנאשם שהוא נרשם ללימודים באוניברסיטה הפתוחה</w:t>
      </w:r>
      <w:r>
        <w:rPr>
          <w:rtl w:val="true"/>
        </w:rPr>
        <w:t xml:space="preserve">, </w:t>
      </w:r>
      <w:r>
        <w:rPr>
          <w:rtl w:val="true"/>
        </w:rPr>
        <w:t>עובר סדנאות טיפוליות ועוזר בתוך בית הסוהר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 xml:space="preserve">דיון </w:t>
      </w:r>
      <w:r>
        <w:rPr>
          <w:b/>
          <w:b/>
          <w:bCs/>
          <w:u w:val="single"/>
          <w:rtl w:val="true"/>
        </w:rPr>
        <w:t>–</w:t>
      </w:r>
      <w:r>
        <w:rPr>
          <w:b/>
          <w:b/>
          <w:bCs/>
          <w:u w:val="single"/>
          <w:rtl w:val="true"/>
        </w:rPr>
        <w:t xml:space="preserve"> כללי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 xml:space="preserve">. 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 הורשע לאחר שמיעת מסכת ראיות</w:t>
      </w:r>
      <w:r>
        <w:rPr>
          <w:rtl w:val="true"/>
        </w:rPr>
        <w:t xml:space="preserve">, </w:t>
      </w:r>
      <w:r>
        <w:rPr>
          <w:rtl w:val="true"/>
        </w:rPr>
        <w:t>בעבירה של הריגה</w:t>
      </w:r>
      <w:r>
        <w:rPr>
          <w:rtl w:val="true"/>
        </w:rPr>
        <w:t xml:space="preserve">, </w:t>
      </w:r>
      <w:r>
        <w:rPr>
          <w:rtl w:val="true"/>
        </w:rPr>
        <w:t>תוך שהוא מזוכה</w:t>
      </w:r>
      <w:r>
        <w:rPr>
          <w:rtl w:val="true"/>
        </w:rPr>
        <w:t xml:space="preserve">, </w:t>
      </w:r>
      <w:r>
        <w:rPr>
          <w:rtl w:val="true"/>
        </w:rPr>
        <w:t>מחמת הספק</w:t>
      </w:r>
      <w:r>
        <w:rPr>
          <w:rtl w:val="true"/>
        </w:rPr>
        <w:t xml:space="preserve">, </w:t>
      </w:r>
      <w:r>
        <w:rPr>
          <w:rtl w:val="true"/>
        </w:rPr>
        <w:t>מביצוע עבירת רצח</w:t>
      </w:r>
      <w:r>
        <w:rPr>
          <w:rtl w:val="true"/>
        </w:rPr>
        <w:t xml:space="preserve">. </w:t>
      </w:r>
      <w:r>
        <w:rPr>
          <w:rtl w:val="true"/>
        </w:rPr>
        <w:t>כן הוא הורשע בעבירות הנלוות</w:t>
      </w:r>
      <w:r>
        <w:rPr>
          <w:rtl w:val="true"/>
        </w:rPr>
        <w:t xml:space="preserve">, </w:t>
      </w:r>
      <w:r>
        <w:rPr>
          <w:rtl w:val="true"/>
        </w:rPr>
        <w:t>שעניינן עבירות בנשק</w:t>
      </w:r>
      <w:r>
        <w:rPr>
          <w:rtl w:val="true"/>
        </w:rPr>
        <w:t xml:space="preserve">, </w:t>
      </w:r>
      <w:r>
        <w:rPr>
          <w:rtl w:val="true"/>
        </w:rPr>
        <w:t>השמדת ראיות ושיבוש מהלכי משפט</w:t>
      </w:r>
      <w:r>
        <w:rPr>
          <w:rtl w:val="true"/>
        </w:rPr>
        <w:t xml:space="preserve">. </w:t>
      </w:r>
      <w:r>
        <w:rPr>
          <w:rtl w:val="true"/>
        </w:rPr>
        <w:t>כנהוג בימינו אלה</w:t>
      </w:r>
      <w:r>
        <w:rPr>
          <w:rtl w:val="true"/>
        </w:rPr>
        <w:t xml:space="preserve">, </w:t>
      </w:r>
      <w:r>
        <w:rPr>
          <w:rtl w:val="true"/>
        </w:rPr>
        <w:t xml:space="preserve">יובנה גזר דינו של הנאשם כפי הוראות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בדבר </w:t>
      </w:r>
      <w:r>
        <w:rPr>
          <w:rtl w:val="true"/>
        </w:rPr>
        <w:t>"</w:t>
      </w:r>
      <w:r>
        <w:rPr>
          <w:rtl w:val="true"/>
        </w:rPr>
        <w:t>הבניית שיקול הדעת השיפוטי</w:t>
      </w:r>
      <w:r>
        <w:rPr>
          <w:rtl w:val="true"/>
        </w:rPr>
        <w:t xml:space="preserve">".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נדרש בית המשפט לעריכת בחינה תלת שלבית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יש לקבוע האם מדובר באירוע אחד או במספר אירועים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קביעת מתחם העונש ההולם וההנמקה לכך ושלישית</w:t>
      </w:r>
      <w:r>
        <w:rPr>
          <w:rtl w:val="true"/>
        </w:rPr>
        <w:t xml:space="preserve">, </w:t>
      </w:r>
      <w:r>
        <w:rPr>
          <w:rtl w:val="true"/>
        </w:rPr>
        <w:t>קביעת העונש הראוי בתוך המתחם</w:t>
      </w:r>
      <w:r>
        <w:rPr>
          <w:rtl w:val="true"/>
        </w:rPr>
        <w:t xml:space="preserve">, </w:t>
      </w:r>
      <w:r>
        <w:rPr>
          <w:rtl w:val="true"/>
        </w:rPr>
        <w:t>או סטיה ממנו אם החוק מאפשר זאת וההנמקה לכך</w:t>
      </w:r>
      <w:r>
        <w:rPr>
          <w:rtl w:val="true"/>
        </w:rPr>
        <w:t>. (</w:t>
      </w:r>
      <w:r>
        <w:rPr>
          <w:rtl w:val="true"/>
        </w:rPr>
        <w:t xml:space="preserve">ראה בעניין זה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864/12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סעד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5.8.13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 xml:space="preserve">. </w:t>
        <w:tab/>
      </w:r>
      <w:r>
        <w:rPr>
          <w:rtl w:val="true"/>
        </w:rPr>
        <w:t>לצורך 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נדרש בית המשפט לבחינת הערך החברתי שנפגע מביצוע העבירות ומידת הפגיעה בו</w:t>
      </w:r>
      <w:r>
        <w:rPr>
          <w:rtl w:val="true"/>
        </w:rPr>
        <w:t xml:space="preserve">, </w:t>
      </w:r>
      <w:r>
        <w:rPr>
          <w:rtl w:val="true"/>
        </w:rPr>
        <w:t>בהתאם למדיניות הענישה הנהוגה ולנסיבות הקשורות בביצוע העבירות</w:t>
      </w:r>
      <w:r>
        <w:rPr>
          <w:rtl w:val="true"/>
        </w:rPr>
        <w:t xml:space="preserve">. </w:t>
      </w:r>
      <w:r>
        <w:rPr>
          <w:rtl w:val="true"/>
        </w:rPr>
        <w:t>לצורך קביעת העונש הראוי לנאשם</w:t>
      </w:r>
      <w:r>
        <w:rPr>
          <w:rtl w:val="true"/>
        </w:rPr>
        <w:t xml:space="preserve">, </w:t>
      </w:r>
      <w:r>
        <w:rPr>
          <w:rtl w:val="true"/>
        </w:rPr>
        <w:t>נדרש בית המשפט  לבחינת הנסיבות</w:t>
      </w:r>
      <w:r>
        <w:rPr>
          <w:rtl w:val="true"/>
        </w:rPr>
        <w:t xml:space="preserve">, </w:t>
      </w:r>
      <w:r>
        <w:rPr>
          <w:rtl w:val="true"/>
        </w:rPr>
        <w:t>אשר אינן קשורות בביצוע העבירות</w:t>
      </w:r>
      <w:r>
        <w:rPr>
          <w:rtl w:val="true"/>
        </w:rPr>
        <w:t xml:space="preserve">, </w:t>
      </w:r>
      <w:r>
        <w:rPr>
          <w:rtl w:val="true"/>
        </w:rPr>
        <w:t>ובכלל אלה</w:t>
      </w:r>
      <w:r>
        <w:rPr>
          <w:rtl w:val="true"/>
        </w:rPr>
        <w:t xml:space="preserve">, </w:t>
      </w:r>
      <w:r>
        <w:rPr>
          <w:rtl w:val="true"/>
        </w:rPr>
        <w:t>נתוני העושה ונסיבותיו האישיות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 xml:space="preserve">. </w:t>
        <w:tab/>
      </w:r>
      <w:r>
        <w:rPr>
          <w:rtl w:val="true"/>
        </w:rPr>
        <w:t>כפי שעלה אף מטיעוני הצדדים לעונש</w:t>
      </w:r>
      <w:r>
        <w:rPr>
          <w:rtl w:val="true"/>
        </w:rPr>
        <w:t xml:space="preserve">, </w:t>
      </w:r>
      <w:r>
        <w:rPr>
          <w:rtl w:val="true"/>
        </w:rPr>
        <w:t>אמנם הנאשם הורשע כאן במקבץ עבירות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מעובדות כתב האישום</w:t>
      </w:r>
      <w:r>
        <w:rPr>
          <w:rtl w:val="true"/>
        </w:rPr>
        <w:t xml:space="preserve">, </w:t>
      </w:r>
      <w:r>
        <w:rPr>
          <w:rtl w:val="true"/>
        </w:rPr>
        <w:t>עולה בבירור</w:t>
      </w:r>
      <w:r>
        <w:rPr>
          <w:rtl w:val="true"/>
        </w:rPr>
        <w:t xml:space="preserve">, </w:t>
      </w:r>
      <w:r>
        <w:rPr>
          <w:rtl w:val="true"/>
        </w:rPr>
        <w:t>כי עסקינן באירוע אחד נמשך</w:t>
      </w:r>
      <w:r>
        <w:rPr>
          <w:rtl w:val="true"/>
        </w:rPr>
        <w:t xml:space="preserve">, </w:t>
      </w:r>
      <w:r>
        <w:rPr>
          <w:rtl w:val="true"/>
        </w:rPr>
        <w:t>אשר במהלכו ביצע הנאשם את מקבץ המעשים נשוא הכרעת הדין שתחילתן ברכישת הנשק</w:t>
      </w:r>
      <w:r>
        <w:rPr>
          <w:rtl w:val="true"/>
        </w:rPr>
        <w:t xml:space="preserve">, </w:t>
      </w:r>
      <w:r>
        <w:rPr>
          <w:rtl w:val="true"/>
        </w:rPr>
        <w:t>המשכן במארב וביצוע המעשה הקטלני</w:t>
      </w:r>
      <w:r>
        <w:rPr>
          <w:rtl w:val="true"/>
        </w:rPr>
        <w:t xml:space="preserve">, </w:t>
      </w:r>
      <w:r>
        <w:rPr>
          <w:rtl w:val="true"/>
        </w:rPr>
        <w:t>וסיומם בהשמדת כלי הנשק והראיות האחרות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הרי שבאנו לקבוע כי עסקינן באירוע אחד וכי אין עסקינן במספר אירועים</w:t>
      </w:r>
      <w:r>
        <w:rPr>
          <w:rtl w:val="true"/>
        </w:rPr>
        <w:t xml:space="preserve">, </w:t>
      </w:r>
      <w:r>
        <w:rPr>
          <w:rtl w:val="true"/>
        </w:rPr>
        <w:t xml:space="preserve">בזיקה להוראת </w:t>
      </w:r>
      <w:hyperlink r:id="rId3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[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]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ולהוראות הפסיקה בעניין זה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>. (</w:t>
      </w:r>
      <w:r>
        <w:rPr>
          <w:rtl w:val="true"/>
        </w:rPr>
        <w:t>ראה לעניין זה פסקה מ</w:t>
      </w:r>
      <w:r>
        <w:rPr>
          <w:rtl w:val="true"/>
        </w:rPr>
        <w:t xml:space="preserve">' </w:t>
      </w:r>
      <w:r>
        <w:rPr>
          <w:rtl w:val="true"/>
        </w:rPr>
        <w:t>בפסק הדין שניתן 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1353/13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חמודה כארם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[</w:t>
      </w:r>
      <w:r>
        <w:rPr/>
        <w:t>27.6.13</w:t>
      </w:r>
      <w:r>
        <w:rPr>
          <w:rtl w:val="true"/>
        </w:rPr>
        <w:t xml:space="preserve">], </w:t>
      </w:r>
      <w:r>
        <w:rPr>
          <w:rtl w:val="true"/>
        </w:rPr>
        <w:t>בו נדון עוד בהמשך</w:t>
      </w:r>
      <w:r>
        <w:rPr>
          <w:rtl w:val="true"/>
        </w:rPr>
        <w:t xml:space="preserve">, </w:t>
      </w:r>
      <w:r>
        <w:rPr>
          <w:rtl w:val="true"/>
        </w:rPr>
        <w:t xml:space="preserve">ונתייחס אליו כאל פרשת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חמודה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מתחם העונש ההולם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 xml:space="preserve">. 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לשם 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בית המשפט נדרש לבחון את הערכים המוגנים</w:t>
      </w:r>
      <w:r>
        <w:rPr>
          <w:rtl w:val="true"/>
        </w:rPr>
        <w:t xml:space="preserve">, </w:t>
      </w:r>
      <w:r>
        <w:rPr>
          <w:rtl w:val="true"/>
        </w:rPr>
        <w:t>שנפגעו מביצוע העבירות ומידת הפגיעה בהם</w:t>
      </w:r>
      <w:r>
        <w:rPr>
          <w:rtl w:val="true"/>
        </w:rPr>
        <w:t xml:space="preserve">, </w:t>
      </w:r>
      <w:r>
        <w:rPr>
          <w:rtl w:val="true"/>
        </w:rPr>
        <w:t>מדיניות הענישה הנהוגה ונסיבות הקשורות בביצוע 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בבואנו לקבוע את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כפי שצווינו בסעיפים </w:t>
      </w:r>
      <w:hyperlink r:id="rId38"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  <w:rtl w:val="true"/>
          </w:rPr>
          <w:t>[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]</w:t>
        </w:r>
      </w:hyperlink>
      <w:r>
        <w:rPr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 xml:space="preserve">ובסעיף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עלינו להתחשב בגורמים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הערך החברתי אשר נפגע מביצוע העבירה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מידת הפגיעה בערך חברתי זה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מדיניות הענישה הנהוגה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הנסיבות הקשורות בביצוע 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 xml:space="preserve">. 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גרם הנאשם לקיפוד חייו של אדם</w:t>
      </w:r>
      <w:r>
        <w:rPr>
          <w:rtl w:val="true"/>
        </w:rPr>
        <w:t xml:space="preserve">. </w:t>
      </w:r>
      <w:r>
        <w:rPr>
          <w:rtl w:val="true"/>
        </w:rPr>
        <w:t>הערכים המוגנים בעניין זה הינם הערכים הנעלים ביותר</w:t>
      </w:r>
      <w:r>
        <w:rPr>
          <w:rtl w:val="true"/>
        </w:rPr>
        <w:t xml:space="preserve">, </w:t>
      </w:r>
      <w:r>
        <w:rPr>
          <w:rtl w:val="true"/>
        </w:rPr>
        <w:t>בכל שיטת משפט נאורה</w:t>
      </w:r>
      <w:r>
        <w:rPr>
          <w:rtl w:val="true"/>
        </w:rPr>
        <w:t xml:space="preserve">, </w:t>
      </w:r>
      <w:r>
        <w:rPr>
          <w:rtl w:val="true"/>
        </w:rPr>
        <w:t>של קדושת חיי האדם וערך ההגנה עליהם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 ערך נעלה זה נאמר בפסיקה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1134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קדושת חיי אדם היא ערך עליון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 נובעת מערכי יסוד אנושיים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 נובעת מן הערכים שבבסיסה של מדינת ישראל כמדינה יהודית ודמוקרטית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היא עוגנה בחוק יסוד כבוד האדם וחירותו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הקובע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 xml:space="preserve">סעיף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 xml:space="preserve">כי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זכויות היסוד של האדם בישראל מושתתתות על ההכרה בערך האדם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בקדושת חייו</w:t>
      </w:r>
      <w:r>
        <w:rPr>
          <w:b/>
          <w:bCs/>
          <w:rtl w:val="true"/>
        </w:rPr>
        <w:t xml:space="preserve">...' </w:t>
      </w:r>
      <w:r>
        <w:rPr>
          <w:b/>
          <w:b/>
          <w:bCs/>
          <w:rtl w:val="true"/>
        </w:rPr>
        <w:t xml:space="preserve">והאוסר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 xml:space="preserve">סעיף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על פגיעה ב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חייו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בגופו או בכבודו של אדם באשר הוא אדם</w:t>
      </w:r>
      <w:r>
        <w:rPr>
          <w:b/>
          <w:bCs/>
          <w:rtl w:val="true"/>
        </w:rPr>
        <w:t>'...</w:t>
      </w:r>
      <w:r>
        <w:rPr>
          <w:b/>
          <w:b/>
          <w:bCs/>
          <w:rtl w:val="true"/>
        </w:rPr>
        <w:t>לדידנו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יש ליתן משקל לקדושת חיי אדם במובנם בערכי מדינת ישראל ובעולם ערכים אוניברסלי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שופך דם האדם דמו ישפך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 בצלם אלוהים ברא את האדם</w:t>
      </w:r>
      <w:r>
        <w:rPr>
          <w:b/>
          <w:bCs/>
          <w:rtl w:val="true"/>
        </w:rPr>
        <w:t>' '</w:t>
      </w:r>
      <w:r>
        <w:rPr>
          <w:b/>
          <w:b/>
          <w:bCs/>
          <w:rtl w:val="true"/>
        </w:rPr>
        <w:t xml:space="preserve">חיבה יתרה נודעת לו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לאדם 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שנברא בצלם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9369/07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מיקל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[</w:t>
      </w:r>
      <w:r>
        <w:rPr/>
        <w:t>4.6.2009</w:t>
      </w:r>
      <w:r>
        <w:rPr>
          <w:rtl w:val="true"/>
        </w:rPr>
        <w:t xml:space="preserve">]). </w:t>
      </w:r>
    </w:p>
    <w:p>
      <w:pPr>
        <w:pStyle w:val="Normal"/>
        <w:spacing w:lineRule="auto" w:line="360"/>
        <w:ind w:end="1134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1134"/>
        <w:jc w:val="both"/>
        <w:rPr/>
      </w:pPr>
      <w:r>
        <w:rPr>
          <w:rtl w:val="true"/>
        </w:rPr>
        <w:tab/>
      </w:r>
      <w:r>
        <w:rPr>
          <w:rtl w:val="true"/>
        </w:rPr>
        <w:t>וכן</w:t>
      </w:r>
      <w:r>
        <w:rPr>
          <w:rtl w:val="true"/>
        </w:rPr>
        <w:t>:</w:t>
      </w:r>
    </w:p>
    <w:p>
      <w:pPr>
        <w:pStyle w:val="Normal"/>
        <w:spacing w:lineRule="auto" w:line="360"/>
        <w:ind w:end="1134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1134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לקדושת חיי האדם מטבעה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שמור מקום בשורה הראשונה של ערכי כל חברה אנושית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וישראל בכלל זה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שאם אין חיים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חברה מניין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קיפוד חיי אדם מחייב מאסר לשנים ארוכות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7637/05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שלמה וסף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[</w:t>
      </w:r>
      <w:r>
        <w:rPr/>
        <w:t>5.7.07</w:t>
      </w:r>
      <w:r>
        <w:rPr>
          <w:rtl w:val="true"/>
        </w:rPr>
        <w:t xml:space="preserve">]). </w:t>
      </w:r>
    </w:p>
    <w:p>
      <w:pPr>
        <w:pStyle w:val="Normal"/>
        <w:spacing w:lineRule="auto" w:line="360"/>
        <w:ind w:start="720" w:end="1134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1134"/>
        <w:jc w:val="both"/>
        <w:rPr/>
      </w:pPr>
      <w:r>
        <w:rPr>
          <w:rtl w:val="true"/>
        </w:rPr>
        <w:t>ועוד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1134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1134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העיקר הוא שהענישה חייבת לבטא את הערך של קדושת החיים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העוש צריך להיות גמול הולם ותמרור אזהרה למערער ולאחרים שכמותו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כאחת נגדעו חיי אדם</w:t>
      </w:r>
      <w:r>
        <w:rPr>
          <w:b/>
          <w:bCs/>
          <w:rtl w:val="true"/>
        </w:rPr>
        <w:t>" (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2772/11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מימון נחמני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[</w:t>
      </w:r>
      <w:r>
        <w:rPr/>
        <w:t>21.3.12</w:t>
      </w:r>
      <w:r>
        <w:rPr>
          <w:rtl w:val="true"/>
        </w:rPr>
        <w:t xml:space="preserve">]). </w:t>
      </w:r>
    </w:p>
    <w:p>
      <w:pPr>
        <w:pStyle w:val="Normal"/>
        <w:spacing w:lineRule="auto" w:line="360"/>
        <w:ind w:start="720" w:end="1134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 xml:space="preserve">. </w:t>
        <w:tab/>
      </w:r>
      <w:r>
        <w:rPr>
          <w:rtl w:val="true"/>
        </w:rPr>
        <w:t>הנאשם נטל חיי אדם צעיר אחר</w:t>
      </w:r>
      <w:r>
        <w:rPr>
          <w:rtl w:val="true"/>
        </w:rPr>
        <w:t xml:space="preserve">, </w:t>
      </w:r>
      <w:r>
        <w:rPr>
          <w:rtl w:val="true"/>
        </w:rPr>
        <w:t>אשר לא פגע בו ולא הרע לו</w:t>
      </w:r>
      <w:r>
        <w:rPr>
          <w:rtl w:val="true"/>
        </w:rPr>
        <w:t xml:space="preserve">. </w:t>
      </w:r>
      <w:r>
        <w:rPr>
          <w:rtl w:val="true"/>
        </w:rPr>
        <w:t>הוא ארב לקורבנו מספר שעות</w:t>
      </w:r>
      <w:r>
        <w:rPr>
          <w:rtl w:val="true"/>
        </w:rPr>
        <w:t xml:space="preserve">, </w:t>
      </w:r>
      <w:r>
        <w:rPr>
          <w:rtl w:val="true"/>
        </w:rPr>
        <w:t>בשעות הבוקר המוקדמות</w:t>
      </w:r>
      <w:r>
        <w:rPr>
          <w:rtl w:val="true"/>
        </w:rPr>
        <w:t xml:space="preserve">, </w:t>
      </w:r>
      <w:r>
        <w:rPr>
          <w:rtl w:val="true"/>
        </w:rPr>
        <w:t>כשפניו רעולות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לכאורה ללא כל סיבה של ממש</w:t>
      </w:r>
      <w:r>
        <w:rPr>
          <w:rtl w:val="true"/>
        </w:rPr>
        <w:t xml:space="preserve">. </w:t>
      </w:r>
      <w:r>
        <w:rPr>
          <w:rtl w:val="true"/>
        </w:rPr>
        <w:t>לצורך מעשהו זה</w:t>
      </w:r>
      <w:r>
        <w:rPr>
          <w:rtl w:val="true"/>
        </w:rPr>
        <w:t xml:space="preserve">, </w:t>
      </w:r>
      <w:r>
        <w:rPr>
          <w:rtl w:val="true"/>
        </w:rPr>
        <w:t xml:space="preserve">הוא הצטייד ברובה קטלני מסוג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ושתי מחסניות טעונות עשרות כדורים</w:t>
      </w:r>
      <w:r>
        <w:rPr>
          <w:rtl w:val="true"/>
        </w:rPr>
        <w:t xml:space="preserve">. </w:t>
      </w:r>
      <w:r>
        <w:rPr>
          <w:rtl w:val="true"/>
        </w:rPr>
        <w:t>התנהלותו של הנאשם מעידה על עצמה</w:t>
      </w:r>
      <w:r>
        <w:rPr>
          <w:rtl w:val="true"/>
        </w:rPr>
        <w:t xml:space="preserve">, </w:t>
      </w:r>
      <w:r>
        <w:rPr>
          <w:rtl w:val="true"/>
        </w:rPr>
        <w:t>כי ערך חיי האדם אינו בראש מעיניו</w:t>
      </w:r>
      <w:r>
        <w:rPr>
          <w:rtl w:val="true"/>
        </w:rPr>
        <w:t xml:space="preserve">. </w:t>
      </w:r>
      <w:r>
        <w:rPr>
          <w:rtl w:val="true"/>
        </w:rPr>
        <w:t>לו אכן היה רצונו רק להזהיר את הנאשם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,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לפגוע בו פגיעת אזהרה</w:t>
      </w:r>
      <w:r>
        <w:rPr>
          <w:rtl w:val="true"/>
        </w:rPr>
        <w:t>, (</w:t>
      </w:r>
      <w:r>
        <w:rPr>
          <w:rtl w:val="true"/>
        </w:rPr>
        <w:t>כפי טענותיו בעת שמיעת הראיות</w:t>
      </w:r>
      <w:r>
        <w:rPr>
          <w:rtl w:val="true"/>
        </w:rPr>
        <w:t xml:space="preserve">) </w:t>
      </w:r>
      <w:r>
        <w:rPr>
          <w:rtl w:val="true"/>
        </w:rPr>
        <w:t>לא היה עליו לבצע מבצע כה שקול ומתוכנן</w:t>
      </w:r>
      <w:r>
        <w:rPr>
          <w:rtl w:val="true"/>
        </w:rPr>
        <w:t xml:space="preserve">, </w:t>
      </w:r>
      <w:r>
        <w:rPr>
          <w:rtl w:val="true"/>
        </w:rPr>
        <w:t>של מארב לילי</w:t>
      </w:r>
      <w:r>
        <w:rPr>
          <w:rtl w:val="true"/>
        </w:rPr>
        <w:t xml:space="preserve">, </w:t>
      </w:r>
      <w:r>
        <w:rPr>
          <w:rtl w:val="true"/>
        </w:rPr>
        <w:t>סמוך למקום</w:t>
      </w:r>
      <w:r>
        <w:rPr>
          <w:rtl w:val="true"/>
        </w:rPr>
        <w:t xml:space="preserve">, </w:t>
      </w:r>
      <w:r>
        <w:rPr>
          <w:rtl w:val="true"/>
        </w:rPr>
        <w:t>אליו אמור היה להגיע הקורבן</w:t>
      </w:r>
      <w:r>
        <w:rPr>
          <w:rtl w:val="true"/>
        </w:rPr>
        <w:t xml:space="preserve">, </w:t>
      </w:r>
      <w:r>
        <w:rPr>
          <w:rtl w:val="true"/>
        </w:rPr>
        <w:t>ותוך שהוא מצוייד באמצעי הרג כה מסוכנים</w:t>
      </w:r>
      <w:r>
        <w:rPr>
          <w:rtl w:val="true"/>
        </w:rPr>
        <w:t xml:space="preserve">. </w:t>
      </w:r>
      <w:r>
        <w:rPr>
          <w:rtl w:val="true"/>
        </w:rPr>
        <w:t>נסיבות אלה אינן מותירות פתח לקבלת טיעוני הסניגורית</w:t>
      </w:r>
      <w:r>
        <w:rPr>
          <w:rtl w:val="true"/>
        </w:rPr>
        <w:t xml:space="preserve">, </w:t>
      </w:r>
      <w:r>
        <w:rPr>
          <w:rtl w:val="true"/>
        </w:rPr>
        <w:t>כאילו הנאשם עצמו היה קורבן הנסיבות</w:t>
      </w:r>
      <w:r>
        <w:rPr>
          <w:rtl w:val="true"/>
        </w:rPr>
        <w:t xml:space="preserve">, </w:t>
      </w:r>
      <w:r>
        <w:rPr>
          <w:rtl w:val="true"/>
        </w:rPr>
        <w:t>אשר ביצע את הירי לעבר המנוח</w:t>
      </w:r>
      <w:r>
        <w:rPr>
          <w:rtl w:val="true"/>
        </w:rPr>
        <w:t xml:space="preserve">, </w:t>
      </w:r>
      <w:r>
        <w:rPr>
          <w:rtl w:val="true"/>
        </w:rPr>
        <w:t>רק בלית ברירה ומתוך אינסטינקט של הגנה עצמית</w:t>
      </w:r>
      <w:r>
        <w:rPr>
          <w:rtl w:val="true"/>
        </w:rPr>
        <w:t xml:space="preserve">. </w:t>
      </w:r>
      <w:r>
        <w:rPr>
          <w:rtl w:val="true"/>
        </w:rPr>
        <w:t>הנסיבות מלמדות אחרת</w:t>
      </w:r>
      <w:r>
        <w:rPr>
          <w:rtl w:val="true"/>
        </w:rPr>
        <w:t xml:space="preserve">. </w:t>
      </w:r>
      <w:r>
        <w:rPr>
          <w:rtl w:val="true"/>
        </w:rPr>
        <w:t>נסיבות אלה מלמדות על התנהלות מכוונות</w:t>
      </w:r>
      <w:r>
        <w:rPr>
          <w:rtl w:val="true"/>
        </w:rPr>
        <w:t xml:space="preserve">. </w:t>
      </w:r>
      <w:r>
        <w:rPr>
          <w:rtl w:val="true"/>
        </w:rPr>
        <w:t>הנאשם ירה בחלון הקדמי של מכוניתו של המנוח</w:t>
      </w:r>
      <w:r>
        <w:rPr>
          <w:rtl w:val="true"/>
        </w:rPr>
        <w:t xml:space="preserve">, </w:t>
      </w:r>
      <w:r>
        <w:rPr>
          <w:rtl w:val="true"/>
        </w:rPr>
        <w:t>שעה שהמנוח ישב בתוך המכונית</w:t>
      </w:r>
      <w:r>
        <w:rPr>
          <w:rtl w:val="true"/>
        </w:rPr>
        <w:t xml:space="preserve">, </w:t>
      </w:r>
      <w:r>
        <w:rPr>
          <w:rtl w:val="true"/>
        </w:rPr>
        <w:t>כשפסע היה בינו לבין היפגעות מירי זה בפלג גופו העליון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החדיר הנאשם את קנה הרובה אל תוך המכונית וירה לעבר פלג גופו התחתון של המנוח</w:t>
      </w:r>
      <w:r>
        <w:rPr>
          <w:rtl w:val="true"/>
        </w:rPr>
        <w:t xml:space="preserve">, </w:t>
      </w:r>
      <w:r>
        <w:rPr>
          <w:rtl w:val="true"/>
        </w:rPr>
        <w:t>בטענו כי בכך כיוון שלא לגרום לו לפגיעה קטלנית</w:t>
      </w:r>
      <w:r>
        <w:rPr>
          <w:rtl w:val="true"/>
        </w:rPr>
        <w:t xml:space="preserve">. </w:t>
      </w:r>
      <w:r>
        <w:rPr>
          <w:rtl w:val="true"/>
        </w:rPr>
        <w:t xml:space="preserve">ודוק </w:t>
      </w:r>
      <w:r>
        <w:rPr>
          <w:rtl w:val="true"/>
        </w:rPr>
        <w:t>–</w:t>
      </w:r>
      <w:r>
        <w:rPr>
          <w:rtl w:val="true"/>
        </w:rPr>
        <w:t xml:space="preserve"> לא לעבר שוקיו של המנוח הוא ירה</w:t>
      </w:r>
      <w:r>
        <w:rPr>
          <w:rtl w:val="true"/>
        </w:rPr>
        <w:t xml:space="preserve">, </w:t>
      </w:r>
      <w:r>
        <w:rPr>
          <w:rtl w:val="true"/>
        </w:rPr>
        <w:t xml:space="preserve">אלא לעבר מפשעתו והחלק העליון של ירכיו </w:t>
      </w:r>
      <w:r>
        <w:rPr>
          <w:rtl w:val="true"/>
        </w:rPr>
        <w:t>–</w:t>
      </w:r>
      <w:r>
        <w:rPr>
          <w:rtl w:val="true"/>
        </w:rPr>
        <w:t xml:space="preserve"> איזור בו מצויים כלי דם ראשיים</w:t>
      </w:r>
      <w:r>
        <w:rPr>
          <w:rtl w:val="true"/>
        </w:rPr>
        <w:t xml:space="preserve">. </w:t>
      </w:r>
      <w:r>
        <w:rPr>
          <w:rtl w:val="true"/>
        </w:rPr>
        <w:t>הנאשם כחובש קרבי בהכשרתו</w:t>
      </w:r>
      <w:r>
        <w:rPr>
          <w:rtl w:val="true"/>
        </w:rPr>
        <w:t xml:space="preserve">, </w:t>
      </w:r>
      <w:r>
        <w:rPr>
          <w:rtl w:val="true"/>
        </w:rPr>
        <w:t>אמור היה לדעת זאת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 xml:space="preserve">. </w:t>
        <w:tab/>
      </w:r>
      <w:r>
        <w:rPr>
          <w:rtl w:val="true"/>
        </w:rPr>
        <w:t>לא חזרנו על כל האמור לעיל</w:t>
      </w:r>
      <w:r>
        <w:rPr>
          <w:rtl w:val="true"/>
        </w:rPr>
        <w:t xml:space="preserve">, </w:t>
      </w:r>
      <w:r>
        <w:rPr>
          <w:rtl w:val="true"/>
        </w:rPr>
        <w:t>אלא כדי להראות כי בבואנו לישם את העקרון המנחה בענישה</w:t>
      </w:r>
      <w:r>
        <w:rPr>
          <w:rtl w:val="true"/>
        </w:rPr>
        <w:t xml:space="preserve">, </w:t>
      </w:r>
      <w:r>
        <w:rPr>
          <w:rtl w:val="true"/>
        </w:rPr>
        <w:t xml:space="preserve">שהינו קיומו של יחס הולם בין חומרת מעשה העבירה בנסיבותיו למידת אשמו של הנאשם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מצויים המעשה ומידת אשמו של הנאשם ברף החומרה הגבוה של האשם הפלילי</w:t>
      </w:r>
      <w:r>
        <w:rPr>
          <w:rtl w:val="true"/>
        </w:rPr>
        <w:t xml:space="preserve">, </w:t>
      </w:r>
      <w:r>
        <w:rPr>
          <w:rtl w:val="true"/>
        </w:rPr>
        <w:t>אשר יש ליחסו לעבירת ההריגה</w:t>
      </w:r>
      <w:r>
        <w:rPr>
          <w:rtl w:val="true"/>
        </w:rPr>
        <w:t xml:space="preserve">, </w:t>
      </w:r>
      <w:r>
        <w:rPr>
          <w:rtl w:val="true"/>
        </w:rPr>
        <w:t>שביצע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 פי עקרון מנחה זה</w:t>
      </w:r>
      <w:r>
        <w:rPr>
          <w:rtl w:val="true"/>
        </w:rPr>
        <w:t xml:space="preserve">, </w:t>
      </w:r>
      <w:r>
        <w:rPr>
          <w:rtl w:val="true"/>
        </w:rPr>
        <w:t>יש לקבוע אף רף גבוה של 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39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אם על הערך החברתי הנפגע </w:t>
      </w:r>
      <w:r>
        <w:rPr>
          <w:rtl w:val="true"/>
        </w:rPr>
        <w:t>–</w:t>
      </w:r>
      <w:r>
        <w:rPr>
          <w:rtl w:val="true"/>
        </w:rPr>
        <w:t xml:space="preserve"> ערך קדושת חיי האדם כבר עמדנו לעיל</w:t>
      </w:r>
      <w:r>
        <w:rPr>
          <w:rtl w:val="true"/>
        </w:rPr>
        <w:t xml:space="preserve">. </w:t>
      </w:r>
      <w:r>
        <w:rPr>
          <w:rtl w:val="true"/>
        </w:rPr>
        <w:t>אף פירטנו את מידת הפגיעה בערך חברתי זה והנסיבות הקשורות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נותר לנו  לפנות ולבחון את 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>עדים אנו לקושי שבקביעת אמות מידה מדוייקות לקביעת גרף ליניארי של תחומי ענישה לעבירה זו של הריגה</w:t>
      </w:r>
      <w:r>
        <w:rPr>
          <w:rtl w:val="true"/>
        </w:rPr>
        <w:t xml:space="preserve">, </w:t>
      </w:r>
      <w:r>
        <w:rPr>
          <w:rtl w:val="true"/>
        </w:rPr>
        <w:t>אשר לגביה קיימים מגוון של מצבים ונסיבות</w:t>
      </w:r>
      <w:r>
        <w:rPr>
          <w:rtl w:val="true"/>
        </w:rPr>
        <w:t xml:space="preserve">, </w:t>
      </w:r>
      <w:r>
        <w:rPr>
          <w:rtl w:val="true"/>
        </w:rPr>
        <w:t>החל ממצבי פזיזות של נהיגה בלתי זהירה</w:t>
      </w:r>
      <w:r>
        <w:rPr>
          <w:rtl w:val="true"/>
        </w:rPr>
        <w:t xml:space="preserve">, </w:t>
      </w:r>
      <w:r>
        <w:rPr>
          <w:rtl w:val="true"/>
        </w:rPr>
        <w:t>שהביאה למות אדם וכלה במקרים של ירי מכוון לעבר הקורבן</w:t>
      </w:r>
      <w:r>
        <w:rPr>
          <w:rtl w:val="true"/>
        </w:rPr>
        <w:t xml:space="preserve">, </w:t>
      </w:r>
      <w:r>
        <w:rPr>
          <w:rtl w:val="true"/>
        </w:rPr>
        <w:t>ומעשי אכזריות חריגים</w:t>
      </w:r>
      <w:r>
        <w:rPr>
          <w:rtl w:val="true"/>
        </w:rPr>
        <w:t xml:space="preserve">. </w:t>
      </w:r>
      <w:r>
        <w:rPr>
          <w:rtl w:val="true"/>
        </w:rPr>
        <w:t>כל מקרה ונסיבותיו הוא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אף נקבעה בפסיקה קשת רחבה של מידות ענישה </w:t>
      </w:r>
      <w:r>
        <w:rPr>
          <w:rtl w:val="true"/>
        </w:rPr>
        <w:t>(</w:t>
      </w:r>
      <w:r>
        <w:rPr>
          <w:rtl w:val="true"/>
        </w:rPr>
        <w:t xml:space="preserve">ראה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6968/09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יונס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[</w:t>
      </w:r>
      <w:r>
        <w:rPr/>
        <w:t>30.8.12</w:t>
      </w:r>
      <w:r>
        <w:rPr>
          <w:rtl w:val="true"/>
        </w:rPr>
        <w:t xml:space="preserve">]). </w:t>
      </w:r>
      <w:r>
        <w:rPr>
          <w:rtl w:val="true"/>
        </w:rPr>
        <w:t>כך גם סקירת פסקי הדין שהובאו על ידי בעלי הדין</w:t>
      </w:r>
      <w:r>
        <w:rPr>
          <w:rtl w:val="true"/>
        </w:rPr>
        <w:t xml:space="preserve">, </w:t>
      </w:r>
      <w:r>
        <w:rPr>
          <w:rtl w:val="true"/>
        </w:rPr>
        <w:t>זה בכה וזה בכה</w:t>
      </w:r>
      <w:r>
        <w:rPr>
          <w:rtl w:val="true"/>
        </w:rPr>
        <w:t xml:space="preserve">, </w:t>
      </w:r>
      <w:r>
        <w:rPr>
          <w:rtl w:val="true"/>
        </w:rPr>
        <w:t>מלמדת על מגוון נרחב זה של קביעות מתחם הענישה ביחס לעבירה זו</w:t>
      </w:r>
      <w:r>
        <w:rPr>
          <w:rtl w:val="true"/>
        </w:rPr>
        <w:t xml:space="preserve">, </w:t>
      </w:r>
      <w:r>
        <w:rPr>
          <w:rtl w:val="true"/>
        </w:rPr>
        <w:t>ועל נסיונו של כל צד לגייס לעזרתו קצה אחר של גרף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40</w:t>
      </w:r>
      <w:r>
        <w:rPr>
          <w:rtl w:val="true"/>
        </w:rPr>
        <w:t xml:space="preserve">. </w:t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ניתן לזהות בפסיקה</w:t>
      </w:r>
      <w:r>
        <w:rPr>
          <w:rtl w:val="true"/>
        </w:rPr>
        <w:t xml:space="preserve">, </w:t>
      </w:r>
      <w:r>
        <w:rPr>
          <w:rtl w:val="true"/>
        </w:rPr>
        <w:t>קו ברור של החמרה בעבירות הריגה</w:t>
      </w:r>
      <w:r>
        <w:rPr>
          <w:rtl w:val="true"/>
        </w:rPr>
        <w:t xml:space="preserve">, </w:t>
      </w:r>
      <w:r>
        <w:rPr>
          <w:rtl w:val="true"/>
        </w:rPr>
        <w:t>שנעברו בנסיבות מחמירות כגון זו שבפנינו</w:t>
      </w:r>
      <w:r>
        <w:rPr>
          <w:rtl w:val="true"/>
        </w:rPr>
        <w:t xml:space="preserve">, </w:t>
      </w:r>
      <w:r>
        <w:rPr>
          <w:rtl w:val="true"/>
        </w:rPr>
        <w:t>אשר על נסיבותיה כבר עמדנו לעיל</w:t>
      </w:r>
      <w:r>
        <w:rPr>
          <w:rtl w:val="true"/>
        </w:rPr>
        <w:t xml:space="preserve">. </w:t>
      </w:r>
      <w:r>
        <w:rPr>
          <w:rtl w:val="true"/>
        </w:rPr>
        <w:t>נסיבות הכנה</w:t>
      </w:r>
      <w:r>
        <w:rPr>
          <w:rtl w:val="true"/>
        </w:rPr>
        <w:t xml:space="preserve">, </w:t>
      </w:r>
      <w:r>
        <w:rPr>
          <w:rtl w:val="true"/>
        </w:rPr>
        <w:t>תכנון וביצוע מדויקים</w:t>
      </w:r>
      <w:r>
        <w:rPr>
          <w:rtl w:val="true"/>
        </w:rPr>
        <w:t xml:space="preserve">, </w:t>
      </w:r>
      <w:r>
        <w:rPr>
          <w:rtl w:val="true"/>
        </w:rPr>
        <w:t>שכללו הצטיידות בנשק</w:t>
      </w:r>
      <w:r>
        <w:rPr>
          <w:rtl w:val="true"/>
        </w:rPr>
        <w:t xml:space="preserve">, </w:t>
      </w:r>
      <w:r>
        <w:rPr>
          <w:rtl w:val="true"/>
        </w:rPr>
        <w:t>מארב ערוך בקפדנות וביצוע מעשה ירי של תחמושת לא מעטה לעבר הקרבן</w:t>
      </w:r>
      <w:r>
        <w:rPr>
          <w:rtl w:val="true"/>
        </w:rPr>
        <w:t xml:space="preserve">. </w:t>
      </w:r>
      <w:r>
        <w:rPr>
          <w:rtl w:val="true"/>
        </w:rPr>
        <w:t>ולאחר מכן</w:t>
      </w:r>
      <w:r>
        <w:rPr>
          <w:rtl w:val="true"/>
        </w:rPr>
        <w:t xml:space="preserve">, </w:t>
      </w:r>
      <w:r>
        <w:rPr>
          <w:rtl w:val="true"/>
        </w:rPr>
        <w:t>הסתלקות מידית מן הזירה</w:t>
      </w:r>
      <w:r>
        <w:rPr>
          <w:rtl w:val="true"/>
        </w:rPr>
        <w:t xml:space="preserve">, </w:t>
      </w:r>
      <w:r>
        <w:rPr>
          <w:rtl w:val="true"/>
        </w:rPr>
        <w:t>ללא ניסיון לבחון את מצבו של הקורבן</w:t>
      </w:r>
      <w:r>
        <w:rPr>
          <w:rtl w:val="true"/>
        </w:rPr>
        <w:t xml:space="preserve">, </w:t>
      </w:r>
      <w:r>
        <w:rPr>
          <w:rtl w:val="true"/>
        </w:rPr>
        <w:t>פשיטא שלא לעזור לו</w:t>
      </w:r>
      <w:r>
        <w:rPr>
          <w:rtl w:val="true"/>
        </w:rPr>
        <w:t>. (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נזכיר כי הנאשם הינו חובש קרבי בהכשרתו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41</w:t>
      </w:r>
      <w:r>
        <w:rPr>
          <w:rtl w:val="true"/>
        </w:rPr>
        <w:t xml:space="preserve">. </w:t>
        <w:tab/>
      </w:r>
      <w:r>
        <w:rPr>
          <w:rtl w:val="true"/>
        </w:rPr>
        <w:t>במקרים כגון אלה</w:t>
      </w:r>
      <w:r>
        <w:rPr>
          <w:rtl w:val="true"/>
        </w:rPr>
        <w:t xml:space="preserve">, </w:t>
      </w:r>
      <w:r>
        <w:rPr>
          <w:rtl w:val="true"/>
        </w:rPr>
        <w:t>רואים אנו כי בתי המשפט נטו לגזור עונשים הנוטים לרף העליון של העונש אשר נקבע לצידה של עבירת ההריגה</w:t>
      </w:r>
      <w:r>
        <w:rPr>
          <w:rtl w:val="true"/>
        </w:rPr>
        <w:t xml:space="preserve">, </w:t>
      </w:r>
      <w:hyperlink r:id="rId46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שהינו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לצורך כתיבת גזר דין זה עיינו בגזרי דין רבים</w:t>
      </w:r>
      <w:r>
        <w:rPr>
          <w:rtl w:val="true"/>
        </w:rPr>
        <w:t xml:space="preserve">, </w:t>
      </w:r>
      <w:r>
        <w:rPr>
          <w:rtl w:val="true"/>
        </w:rPr>
        <w:t>בהם ניתן היה לזהות את מתחם הענישה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סבורים אנו כי נהא פטורים מלהתייחס למגוון פסקי הדין בנדון</w:t>
      </w:r>
      <w:r>
        <w:rPr>
          <w:rtl w:val="true"/>
        </w:rPr>
        <w:t xml:space="preserve">, </w:t>
      </w:r>
      <w:r>
        <w:rPr>
          <w:rtl w:val="true"/>
        </w:rPr>
        <w:t>לאחר שרק לאחרונה אמר בית המשפט העליון את דברו</w:t>
      </w:r>
      <w:r>
        <w:rPr>
          <w:rtl w:val="true"/>
        </w:rPr>
        <w:t xml:space="preserve">, </w:t>
      </w:r>
      <w:r>
        <w:rPr>
          <w:rtl w:val="true"/>
        </w:rPr>
        <w:t xml:space="preserve">בפסק הדין בפרשת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חמודה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שניתן אך ביום </w:t>
      </w:r>
      <w:r>
        <w:rPr/>
        <w:t>27.6.13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 באותו עניין</w:t>
      </w:r>
      <w:r>
        <w:rPr>
          <w:rtl w:val="true"/>
        </w:rPr>
        <w:t xml:space="preserve">, </w:t>
      </w:r>
      <w:r>
        <w:rPr>
          <w:rtl w:val="true"/>
        </w:rPr>
        <w:t>ירה הנאשם מכלי נשק לעבר ירכו של הקורבן בכוונת מכוון</w:t>
      </w:r>
      <w:r>
        <w:rPr>
          <w:rtl w:val="true"/>
        </w:rPr>
        <w:t xml:space="preserve">, </w:t>
      </w:r>
      <w:r>
        <w:rPr>
          <w:rtl w:val="true"/>
        </w:rPr>
        <w:t xml:space="preserve">ופגע בעורק הראשי העובר שם </w:t>
      </w:r>
      <w:r>
        <w:rPr>
          <w:rtl w:val="true"/>
        </w:rPr>
        <w:t>(</w:t>
      </w:r>
      <w:r>
        <w:rPr>
          <w:rtl w:val="true"/>
        </w:rPr>
        <w:t>העורק הפמורלי</w:t>
      </w:r>
      <w:r>
        <w:rPr>
          <w:rtl w:val="true"/>
        </w:rPr>
        <w:t xml:space="preserve">). </w:t>
      </w:r>
      <w:r>
        <w:rPr>
          <w:rtl w:val="true"/>
        </w:rPr>
        <w:t>אף שם נפטר הקורבן מאובדן דם</w:t>
      </w:r>
      <w:r>
        <w:rPr>
          <w:rtl w:val="true"/>
        </w:rPr>
        <w:t xml:space="preserve">, </w:t>
      </w:r>
      <w:r>
        <w:rPr>
          <w:rtl w:val="true"/>
        </w:rPr>
        <w:t>שמקורו בפציעה זו</w:t>
      </w:r>
      <w:r>
        <w:rPr>
          <w:rtl w:val="true"/>
        </w:rPr>
        <w:t xml:space="preserve">, </w:t>
      </w:r>
      <w:r>
        <w:rPr>
          <w:rtl w:val="true"/>
        </w:rPr>
        <w:t>בעורק הירך</w:t>
      </w:r>
      <w:r>
        <w:rPr>
          <w:rtl w:val="true"/>
        </w:rPr>
        <w:t xml:space="preserve">. </w:t>
      </w:r>
      <w:r>
        <w:rPr>
          <w:rtl w:val="true"/>
        </w:rPr>
        <w:t>הנאשם דשם הועמד לדין באשמת רצח</w:t>
      </w:r>
      <w:r>
        <w:rPr>
          <w:rtl w:val="true"/>
        </w:rPr>
        <w:t xml:space="preserve">, </w:t>
      </w:r>
      <w:r>
        <w:rPr>
          <w:rtl w:val="true"/>
        </w:rPr>
        <w:t>אך בסופו של יום הורשע בעבירת הריגה</w:t>
      </w:r>
      <w:r>
        <w:rPr>
          <w:rtl w:val="true"/>
        </w:rPr>
        <w:t xml:space="preserve">, </w:t>
      </w:r>
      <w:r>
        <w:rPr>
          <w:rtl w:val="true"/>
        </w:rPr>
        <w:t>רק מחמת הספק שקינן בליבו של בית המשפט באשר ליסוד הנפשי של הנאשם בשעת ביצוע העבירה</w:t>
      </w:r>
      <w:r>
        <w:rPr>
          <w:rtl w:val="true"/>
        </w:rPr>
        <w:t xml:space="preserve">, </w:t>
      </w:r>
      <w:r>
        <w:rPr>
          <w:rtl w:val="true"/>
        </w:rPr>
        <w:t>כפי שנקבע גם בעניין שלפנינו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שני הבדלים היו בין המקרה דשם לבין המקרה שלפנינו</w:t>
      </w:r>
      <w:r>
        <w:rPr>
          <w:rtl w:val="true"/>
        </w:rPr>
        <w:t xml:space="preserve">. </w:t>
      </w:r>
      <w:r>
        <w:rPr>
          <w:rtl w:val="true"/>
        </w:rPr>
        <w:t>הבדל אחד לחומרא והשני לקולא</w:t>
      </w:r>
      <w:r>
        <w:rPr>
          <w:rtl w:val="true"/>
        </w:rPr>
        <w:t xml:space="preserve">.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נזקפת העובדה שהנאשם דשם</w:t>
      </w:r>
      <w:r>
        <w:rPr>
          <w:rtl w:val="true"/>
        </w:rPr>
        <w:t xml:space="preserve">, </w:t>
      </w:r>
      <w:r>
        <w:rPr>
          <w:rtl w:val="true"/>
        </w:rPr>
        <w:t>חמודה</w:t>
      </w:r>
      <w:r>
        <w:rPr>
          <w:rtl w:val="true"/>
        </w:rPr>
        <w:t xml:space="preserve">, </w:t>
      </w:r>
      <w:r>
        <w:rPr>
          <w:rtl w:val="true"/>
        </w:rPr>
        <w:t>ירה מספר יריות בעיבורה של עיר בשעות צהריים</w:t>
      </w:r>
      <w:r>
        <w:rPr>
          <w:rtl w:val="true"/>
        </w:rPr>
        <w:t xml:space="preserve">, </w:t>
      </w:r>
      <w:r>
        <w:rPr>
          <w:rtl w:val="true"/>
        </w:rPr>
        <w:t>ובכך היה עלול</w:t>
      </w:r>
      <w:r>
        <w:rPr>
          <w:rtl w:val="true"/>
        </w:rPr>
        <w:t xml:space="preserve">, </w:t>
      </w:r>
      <w:r>
        <w:rPr>
          <w:rtl w:val="true"/>
        </w:rPr>
        <w:t>חלילה</w:t>
      </w:r>
      <w:r>
        <w:rPr>
          <w:rtl w:val="true"/>
        </w:rPr>
        <w:t xml:space="preserve">, </w:t>
      </w:r>
      <w:r>
        <w:rPr>
          <w:rtl w:val="true"/>
        </w:rPr>
        <w:t>לפגוע גם בעוברי אורח תמימים</w:t>
      </w:r>
      <w:r>
        <w:rPr>
          <w:rtl w:val="true"/>
        </w:rPr>
        <w:t xml:space="preserve">; </w:t>
      </w:r>
      <w:r>
        <w:rPr>
          <w:rtl w:val="true"/>
        </w:rPr>
        <w:t>ואילו הנסיבה לקולא נוגעת להעדר הוכחה בדבר תכנון מוקדם של אותו המעשה</w:t>
      </w:r>
      <w:r>
        <w:rPr>
          <w:rtl w:val="true"/>
        </w:rPr>
        <w:t xml:space="preserve">. </w:t>
      </w:r>
      <w:r>
        <w:rPr>
          <w:rtl w:val="true"/>
        </w:rPr>
        <w:t>סבורים אנו כי נסיבות אלה</w:t>
      </w:r>
      <w:r>
        <w:rPr>
          <w:rtl w:val="true"/>
        </w:rPr>
        <w:t xml:space="preserve">, </w:t>
      </w:r>
      <w:r>
        <w:rPr>
          <w:rtl w:val="true"/>
        </w:rPr>
        <w:t>כשהן עומדות זו כנגד זו</w:t>
      </w:r>
      <w:r>
        <w:rPr>
          <w:rtl w:val="true"/>
        </w:rPr>
        <w:t xml:space="preserve">, </w:t>
      </w:r>
      <w:r>
        <w:rPr>
          <w:rtl w:val="true"/>
        </w:rPr>
        <w:t>אין בהן כדי להשפיע</w:t>
      </w:r>
      <w:r>
        <w:rPr>
          <w:rtl w:val="true"/>
        </w:rPr>
        <w:t xml:space="preserve">, </w:t>
      </w:r>
      <w:r>
        <w:rPr>
          <w:rtl w:val="true"/>
        </w:rPr>
        <w:t>בסופו של חשבון</w:t>
      </w:r>
      <w:r>
        <w:rPr>
          <w:rtl w:val="true"/>
        </w:rPr>
        <w:t xml:space="preserve">, </w:t>
      </w:r>
      <w:r>
        <w:rPr>
          <w:rtl w:val="true"/>
        </w:rPr>
        <w:t>על מתחם העונש הראוי שנקבע באותו עניין לאחר שקלא וטריא</w:t>
      </w:r>
      <w:r>
        <w:rPr>
          <w:rtl w:val="true"/>
        </w:rPr>
        <w:t xml:space="preserve">, </w:t>
      </w:r>
      <w:r>
        <w:rPr>
          <w:rtl w:val="true"/>
        </w:rPr>
        <w:t>וההולם גם את ענייננו ובנסיבותינו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נקודות הדמיון בין שני המקרים רבות יותר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העליון העמיד</w:t>
      </w:r>
      <w:r>
        <w:rPr>
          <w:rtl w:val="true"/>
        </w:rPr>
        <w:t xml:space="preserve">, </w:t>
      </w:r>
      <w:r>
        <w:rPr>
          <w:rtl w:val="true"/>
        </w:rPr>
        <w:t xml:space="preserve">לעניין זה את הרף העליון של מתחם הענישה ההולם לכלל העבירות בהן הורשע הנאשם </w:t>
      </w:r>
      <w:r>
        <w:rPr>
          <w:rtl w:val="true"/>
        </w:rPr>
        <w:t>–</w:t>
      </w:r>
      <w:r>
        <w:rPr>
          <w:rtl w:val="true"/>
        </w:rPr>
        <w:t xml:space="preserve"> הזהות לכלל העבירות הנלוות גם בענייננו </w:t>
      </w:r>
      <w:r>
        <w:rPr>
          <w:rtl w:val="true"/>
        </w:rPr>
        <w:t>–</w:t>
      </w:r>
      <w:r>
        <w:rPr>
          <w:rtl w:val="true"/>
        </w:rPr>
        <w:t xml:space="preserve"> על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העמיד את הרף התחתון על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ובקביעה לא התערב בית המשפט העליון</w:t>
      </w:r>
      <w:r>
        <w:rPr>
          <w:rtl w:val="true"/>
        </w:rPr>
        <w:t xml:space="preserve">. </w:t>
      </w:r>
      <w:r>
        <w:rPr>
          <w:rtl w:val="true"/>
        </w:rPr>
        <w:t>סבורים אנו כי אמות מידה אלה</w:t>
      </w:r>
      <w:r>
        <w:rPr>
          <w:rtl w:val="true"/>
        </w:rPr>
        <w:t xml:space="preserve">, </w:t>
      </w:r>
      <w:r>
        <w:rPr>
          <w:rtl w:val="true"/>
        </w:rPr>
        <w:t>שנקבעו על ידי בית המשפט העליון</w:t>
      </w:r>
      <w:r>
        <w:rPr>
          <w:rtl w:val="true"/>
        </w:rPr>
        <w:t xml:space="preserve">, </w:t>
      </w:r>
      <w:r>
        <w:rPr>
          <w:rtl w:val="true"/>
        </w:rPr>
        <w:t>הולמות עבירות הריגה</w:t>
      </w:r>
      <w:r>
        <w:rPr>
          <w:rtl w:val="true"/>
        </w:rPr>
        <w:t xml:space="preserve">, </w:t>
      </w:r>
      <w:r>
        <w:rPr>
          <w:rtl w:val="true"/>
        </w:rPr>
        <w:t>מן הרף הגבוה</w:t>
      </w:r>
      <w:r>
        <w:rPr>
          <w:rtl w:val="true"/>
        </w:rPr>
        <w:t xml:space="preserve">, </w:t>
      </w:r>
      <w:r>
        <w:rPr>
          <w:rtl w:val="true"/>
        </w:rPr>
        <w:t>כפי המעשים שבפנינו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42</w:t>
      </w:r>
      <w:r>
        <w:rPr>
          <w:rtl w:val="true"/>
        </w:rPr>
        <w:t xml:space="preserve">. </w:t>
        <w:tab/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סבורים אנו כי אף אנו מצווים להתמיד בתלם זה</w:t>
      </w:r>
      <w:r>
        <w:rPr>
          <w:rtl w:val="true"/>
        </w:rPr>
        <w:t xml:space="preserve">, </w:t>
      </w:r>
      <w:r>
        <w:rPr>
          <w:rtl w:val="true"/>
        </w:rPr>
        <w:t>שהותווה על ידי בית המשפט העליון</w:t>
      </w:r>
      <w:r>
        <w:rPr>
          <w:rtl w:val="true"/>
        </w:rPr>
        <w:t xml:space="preserve">, </w:t>
      </w:r>
      <w:r>
        <w:rPr>
          <w:rtl w:val="true"/>
        </w:rPr>
        <w:t xml:space="preserve">ולקבוע את מתחם הענישה ההולם בגין העבירות בהן הורשע הנאשם על </w:t>
      </w:r>
      <w:r>
        <w:rPr/>
        <w:t>14-18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זאת בהתחשב בערכים החשובים שנפגעו</w:t>
      </w:r>
      <w:r>
        <w:rPr>
          <w:rtl w:val="true"/>
        </w:rPr>
        <w:t xml:space="preserve">, </w:t>
      </w:r>
      <w:r>
        <w:rPr>
          <w:rtl w:val="true"/>
        </w:rPr>
        <w:t>פגיעה חמורה</w:t>
      </w:r>
      <w:r>
        <w:rPr>
          <w:rtl w:val="true"/>
        </w:rPr>
        <w:t xml:space="preserve">, </w:t>
      </w:r>
      <w:r>
        <w:rPr>
          <w:rtl w:val="true"/>
        </w:rPr>
        <w:t>מביצוע העבירות מידת הפגיעה בהם</w:t>
      </w:r>
      <w:r>
        <w:rPr>
          <w:rtl w:val="true"/>
        </w:rPr>
        <w:t xml:space="preserve">, </w:t>
      </w:r>
      <w:r>
        <w:rPr>
          <w:rtl w:val="true"/>
        </w:rPr>
        <w:t>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והנסיבות הקשורות בביצוע 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סטיה ממתחם העונש הראוי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43</w:t>
      </w:r>
      <w:r>
        <w:rPr>
          <w:rtl w:val="true"/>
        </w:rPr>
        <w:t xml:space="preserve">. </w:t>
        <w:tab/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ונוכח הנסיבות שהובאו בפנינו</w:t>
      </w:r>
      <w:r>
        <w:rPr>
          <w:rtl w:val="true"/>
        </w:rPr>
        <w:t xml:space="preserve">, </w:t>
      </w:r>
      <w:r>
        <w:rPr>
          <w:rtl w:val="true"/>
        </w:rPr>
        <w:t>שאינן כוללת כל נסיבות מיוחדות</w:t>
      </w:r>
      <w:r>
        <w:rPr>
          <w:rtl w:val="true"/>
        </w:rPr>
        <w:t xml:space="preserve">, </w:t>
      </w:r>
      <w:r>
        <w:rPr>
          <w:rtl w:val="true"/>
        </w:rPr>
        <w:t xml:space="preserve">כפי הוראת </w:t>
      </w:r>
      <w:hyperlink r:id="rId48">
        <w:r>
          <w:rPr>
            <w:rStyle w:val="Hyperlink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49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אין מקום לסטות</w:t>
      </w:r>
      <w:r>
        <w:rPr>
          <w:rtl w:val="true"/>
        </w:rPr>
        <w:t xml:space="preserve">, </w:t>
      </w:r>
      <w:r>
        <w:rPr>
          <w:rtl w:val="true"/>
        </w:rPr>
        <w:t>במקרה שלפנינו ממתחם העונש ההולם לחומרא או לקולא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לא נמצאו לנו שיקולי שיקום מחד</w:t>
      </w:r>
      <w:r>
        <w:rPr>
          <w:rtl w:val="true"/>
        </w:rPr>
        <w:t xml:space="preserve">, </w:t>
      </w:r>
      <w:r>
        <w:rPr>
          <w:rtl w:val="true"/>
        </w:rPr>
        <w:t>ומאידך אף לא שיקולי מסוכנות חריגה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דינו של הנאשם יגזר בתוך מתחם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נסיבות  אשר אינן קשורות בביצוע העבירה </w:t>
      </w:r>
      <w:r>
        <w:rPr>
          <w:b/>
          <w:b/>
          <w:bCs/>
          <w:u w:val="single"/>
          <w:rtl w:val="true"/>
        </w:rPr>
        <w:t>–</w:t>
      </w:r>
      <w:r>
        <w:rPr>
          <w:b/>
          <w:b/>
          <w:bCs/>
          <w:u w:val="single"/>
          <w:rtl w:val="true"/>
        </w:rPr>
        <w:t xml:space="preserve"> סולחה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BodyTextIndent"/>
        <w:ind w:end="0"/>
        <w:jc w:val="both"/>
        <w:rPr/>
      </w:pPr>
      <w:r>
        <w:rPr/>
        <w:t>44</w:t>
      </w:r>
      <w:r>
        <w:rPr>
          <w:rtl w:val="true"/>
        </w:rPr>
        <w:t xml:space="preserve">. </w:t>
        <w:tab/>
      </w:r>
      <w:r>
        <w:rPr>
          <w:rtl w:val="true"/>
        </w:rPr>
        <w:t>בבואנו לדון בסוגיית הנסיבות האחרות</w:t>
      </w:r>
      <w:r>
        <w:rPr>
          <w:rtl w:val="true"/>
        </w:rPr>
        <w:t xml:space="preserve">, </w:t>
      </w:r>
      <w:r>
        <w:rPr>
          <w:rtl w:val="true"/>
        </w:rPr>
        <w:t>אלה שאינן קשורות לביצוע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עלינו ליתן ראשית דעתנו </w:t>
      </w:r>
      <w:r>
        <w:rPr>
          <w:b/>
          <w:b/>
          <w:bCs/>
          <w:rtl w:val="true"/>
        </w:rPr>
        <w:t>לסולחה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 הושגה בין משפחת הנאשם למשפחת הקורבן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לצורך כך</w:t>
      </w:r>
      <w:r>
        <w:rPr>
          <w:rtl w:val="true"/>
        </w:rPr>
        <w:t xml:space="preserve">, </w:t>
      </w:r>
      <w:r>
        <w:rPr>
          <w:rtl w:val="true"/>
        </w:rPr>
        <w:t>העידה ההגנה את מר סודקי דהמשה</w:t>
      </w:r>
      <w:r>
        <w:rPr>
          <w:rtl w:val="true"/>
        </w:rPr>
        <w:t xml:space="preserve">, </w:t>
      </w:r>
      <w:r>
        <w:rPr>
          <w:rtl w:val="true"/>
        </w:rPr>
        <w:t>ראש ועדת הסולחה המחוזית במגזר הערבי</w:t>
      </w:r>
      <w:r>
        <w:rPr>
          <w:rtl w:val="true"/>
        </w:rPr>
        <w:t xml:space="preserve">, </w:t>
      </w:r>
      <w:r>
        <w:rPr>
          <w:rtl w:val="true"/>
        </w:rPr>
        <w:t xml:space="preserve">אשר העיד בפנינו כי תפקידה של ועדה זו להתערב בעת אירועי אלימות במגזר מתוך כוונה להרגיע את הרוחות ולעשות פשרה בין הצדדים </w:t>
      </w:r>
      <w:r>
        <w:rPr>
          <w:rtl w:val="true"/>
        </w:rPr>
        <w:t>(</w:t>
      </w:r>
      <w:r>
        <w:rPr>
          <w:rtl w:val="true"/>
        </w:rPr>
        <w:t xml:space="preserve">ראה עדותו בעמוד </w:t>
      </w:r>
      <w:r>
        <w:rPr/>
        <w:t>263</w:t>
      </w:r>
      <w:r>
        <w:rPr>
          <w:rtl w:val="true"/>
        </w:rPr>
        <w:t xml:space="preserve">). </w:t>
      </w:r>
      <w:r>
        <w:rPr>
          <w:rtl w:val="true"/>
        </w:rPr>
        <w:t>לשם כך</w:t>
      </w:r>
      <w:r>
        <w:rPr>
          <w:rtl w:val="true"/>
        </w:rPr>
        <w:t xml:space="preserve">, </w:t>
      </w:r>
      <w:r>
        <w:rPr>
          <w:rtl w:val="true"/>
        </w:rPr>
        <w:t>פועלת הועדה להרגעת הרוחות</w:t>
      </w:r>
      <w:r>
        <w:rPr>
          <w:rtl w:val="true"/>
        </w:rPr>
        <w:t xml:space="preserve">, </w:t>
      </w:r>
      <w:r>
        <w:rPr>
          <w:rtl w:val="true"/>
        </w:rPr>
        <w:t xml:space="preserve">עד אשר מגיעים לסולחה </w:t>
      </w:r>
      <w:r>
        <w:rPr>
          <w:rtl w:val="true"/>
        </w:rPr>
        <w:t>"</w:t>
      </w:r>
      <w:r>
        <w:rPr>
          <w:rtl w:val="true"/>
        </w:rPr>
        <w:t>אמיתית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בין הצדדים</w:t>
      </w:r>
      <w:r>
        <w:rPr>
          <w:rtl w:val="true"/>
        </w:rPr>
        <w:t xml:space="preserve">. </w:t>
      </w:r>
      <w:r>
        <w:rPr>
          <w:rtl w:val="true"/>
        </w:rPr>
        <w:t>לשם כך</w:t>
      </w:r>
      <w:r>
        <w:rPr>
          <w:rtl w:val="true"/>
        </w:rPr>
        <w:t xml:space="preserve">, </w:t>
      </w:r>
      <w:r>
        <w:rPr>
          <w:rtl w:val="true"/>
        </w:rPr>
        <w:t xml:space="preserve">פעולת ההסכמה מועלית בכתב הסולחה  </w:t>
      </w:r>
      <w:r>
        <w:rPr>
          <w:rtl w:val="true"/>
        </w:rPr>
        <w:t>(</w:t>
      </w:r>
      <w:r>
        <w:rPr>
          <w:rtl w:val="true"/>
        </w:rPr>
        <w:t>ראה מוצג מ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במקרה שלנו נערכה סולחה כאמור בתיווכה של הועדה</w:t>
      </w:r>
      <w:r>
        <w:rPr>
          <w:rtl w:val="true"/>
        </w:rPr>
        <w:t xml:space="preserve">, </w:t>
      </w:r>
      <w:r>
        <w:rPr>
          <w:rtl w:val="true"/>
        </w:rPr>
        <w:t>עליה חתמו נכבדים משתי המשפחות ושולם פיצוי</w:t>
      </w:r>
      <w:r>
        <w:rPr>
          <w:rtl w:val="true"/>
        </w:rPr>
        <w:t xml:space="preserve">, </w:t>
      </w:r>
      <w:r>
        <w:rPr>
          <w:rtl w:val="true"/>
        </w:rPr>
        <w:t xml:space="preserve">המכונה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דִיָה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על ידי משפחת הנאשם למשפחת המנוח</w:t>
      </w:r>
      <w:r>
        <w:rPr>
          <w:rtl w:val="true"/>
        </w:rPr>
        <w:t xml:space="preserve">. </w:t>
      </w:r>
      <w:r>
        <w:rPr>
          <w:rtl w:val="true"/>
        </w:rPr>
        <w:t xml:space="preserve">מטרת הסולחה הינה </w:t>
      </w:r>
      <w:r>
        <w:rPr>
          <w:rtl w:val="true"/>
        </w:rPr>
        <w:t>"</w:t>
      </w:r>
      <w:r>
        <w:rPr>
          <w:rtl w:val="true"/>
        </w:rPr>
        <w:t>ויתור הדדי</w:t>
      </w:r>
      <w:r>
        <w:rPr>
          <w:rtl w:val="true"/>
        </w:rPr>
        <w:t xml:space="preserve">" </w:t>
      </w:r>
      <w:r>
        <w:rPr>
          <w:rtl w:val="true"/>
        </w:rPr>
        <w:t>של הצדדים זה כלפי זה</w:t>
      </w:r>
      <w:r>
        <w:rPr>
          <w:rtl w:val="true"/>
        </w:rPr>
        <w:t>, "</w:t>
      </w:r>
      <w:r>
        <w:rPr>
          <w:rtl w:val="true"/>
        </w:rPr>
        <w:t>והחיים חוזרים למסלולם כמו לפני הרצח</w:t>
      </w:r>
      <w:r>
        <w:rPr>
          <w:rtl w:val="true"/>
        </w:rPr>
        <w:t>" (</w:t>
      </w:r>
      <w:r>
        <w:rPr>
          <w:rtl w:val="true"/>
        </w:rPr>
        <w:t xml:space="preserve">עמוד </w:t>
      </w:r>
      <w:r>
        <w:rPr/>
        <w:t>264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45</w:t>
      </w:r>
      <w:r>
        <w:rPr>
          <w:rtl w:val="true"/>
        </w:rPr>
        <w:t xml:space="preserve">. 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לסולחה חשיבות רבה להשבת הסדר הציבורי על כנו ולהשכנת שלום בין המשפחות </w:t>
      </w:r>
      <w:r>
        <w:rPr>
          <w:rtl w:val="true"/>
        </w:rPr>
        <w:t>(</w:t>
      </w:r>
      <w:r>
        <w:rPr>
          <w:rtl w:val="true"/>
        </w:rPr>
        <w:t xml:space="preserve">ראה לעניין זה </w:t>
      </w:r>
      <w:r>
        <w:rPr>
          <w:b/>
          <w:b/>
          <w:bCs/>
          <w:rtl w:val="true"/>
        </w:rPr>
        <w:t xml:space="preserve">רון </w:t>
      </w:r>
      <w:hyperlink r:id="rId50">
        <w:r>
          <w:rPr>
            <w:rStyle w:val="Hyperlink"/>
            <w:b/>
            <w:b/>
            <w:bCs/>
            <w:color w:val="0000FF"/>
            <w:u w:val="single"/>
            <w:rtl w:val="true"/>
          </w:rPr>
          <w:t>שפירא</w:t>
        </w:r>
        <w:r>
          <w:rPr>
            <w:rStyle w:val="Hyperlink"/>
            <w:b/>
            <w:bCs/>
            <w:color w:val="0000FF"/>
            <w:u w:val="single"/>
            <w:rtl w:val="true"/>
          </w:rPr>
          <w:t>: 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הגיעה העת לסולחה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</w:hyperlink>
      <w:r>
        <w:rPr>
          <w:rtl w:val="true"/>
        </w:rPr>
        <w:t xml:space="preserve">, </w:t>
      </w:r>
      <w:r>
        <w:rPr>
          <w:rtl w:val="true"/>
        </w:rPr>
        <w:t>הפרקליט מ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, [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]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433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בניגוד לעמדת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אשר ניסתה להראות כי הסולחה שבפנינו אינה סולחה כנה</w:t>
      </w:r>
      <w:r>
        <w:rPr>
          <w:rtl w:val="true"/>
        </w:rPr>
        <w:t xml:space="preserve">, </w:t>
      </w:r>
      <w:r>
        <w:rPr>
          <w:rtl w:val="true"/>
        </w:rPr>
        <w:t>סבורים אנו כי עולה מעדותו של מר סודקי דהמשה</w:t>
      </w:r>
      <w:r>
        <w:rPr>
          <w:rtl w:val="true"/>
        </w:rPr>
        <w:t xml:space="preserve">, </w:t>
      </w:r>
      <w:r>
        <w:rPr>
          <w:rtl w:val="true"/>
        </w:rPr>
        <w:t>כי אכן יש בעשייתה של הסולחה כדי לשכך את להבת המחלוקת שבין המשפחות</w:t>
      </w:r>
      <w:r>
        <w:rPr>
          <w:rtl w:val="true"/>
        </w:rPr>
        <w:t xml:space="preserve">. </w:t>
      </w:r>
      <w:r>
        <w:rPr>
          <w:rtl w:val="true"/>
        </w:rPr>
        <w:t>הטענות כי משפחת הקרבן עדיין מאויימת</w:t>
      </w:r>
      <w:r>
        <w:rPr>
          <w:rtl w:val="true"/>
        </w:rPr>
        <w:t xml:space="preserve">, </w:t>
      </w:r>
      <w:r>
        <w:rPr>
          <w:rtl w:val="true"/>
        </w:rPr>
        <w:t>אינן קונקרטיות</w:t>
      </w:r>
      <w:r>
        <w:rPr>
          <w:rtl w:val="true"/>
        </w:rPr>
        <w:t xml:space="preserve">, </w:t>
      </w:r>
      <w:r>
        <w:rPr>
          <w:rtl w:val="true"/>
        </w:rPr>
        <w:t>וחבל כי הועלו בבית המשפט בפני חברי ועדת הסולחה</w:t>
      </w:r>
      <w:r>
        <w:rPr>
          <w:rtl w:val="true"/>
        </w:rPr>
        <w:t xml:space="preserve">, </w:t>
      </w:r>
      <w:r>
        <w:rPr>
          <w:rtl w:val="true"/>
        </w:rPr>
        <w:t>שנכחו באולם</w:t>
      </w:r>
      <w:r>
        <w:rPr>
          <w:rtl w:val="true"/>
        </w:rPr>
        <w:t xml:space="preserve">, </w:t>
      </w:r>
      <w:r>
        <w:rPr>
          <w:rtl w:val="true"/>
        </w:rPr>
        <w:t>שעה שאין כל ראיה לכך כי משפחת הנאשם מעורבת במעשה נוסף כלשהוא נגד משפחת הקורבן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חשיבותה של הסולחה בהשכנת השלום והדברות בין המשפחות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אין היא מהווה תחליף לענישה פלילית</w:t>
      </w:r>
      <w:r>
        <w:rPr>
          <w:rtl w:val="true"/>
        </w:rPr>
        <w:t xml:space="preserve">. </w:t>
      </w:r>
      <w:r>
        <w:rPr>
          <w:rtl w:val="true"/>
        </w:rPr>
        <w:t>כדברי כב</w:t>
      </w:r>
      <w:r>
        <w:rPr>
          <w:rtl w:val="true"/>
        </w:rPr>
        <w:t xml:space="preserve">' </w:t>
      </w:r>
      <w:r>
        <w:rPr>
          <w:rtl w:val="true"/>
        </w:rPr>
        <w:t>השופט חשין ב</w:t>
      </w:r>
      <w:hyperlink r:id="rId51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3260/03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סרחאן נגד 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[</w:t>
      </w:r>
      <w:r>
        <w:rPr/>
        <w:t>9.4.03</w:t>
      </w:r>
      <w:r>
        <w:rPr>
          <w:rtl w:val="true"/>
        </w:rPr>
        <w:t>]):</w:t>
      </w:r>
    </w:p>
    <w:p>
      <w:pPr>
        <w:pStyle w:val="Normal"/>
        <w:spacing w:lineRule="auto" w:line="360"/>
        <w:ind w:start="1134" w:end="1134"/>
        <w:jc w:val="both"/>
        <w:rPr/>
      </w:pPr>
      <w:r>
        <w:rPr>
          <w:rtl w:val="true"/>
        </w:rPr>
        <w:t xml:space="preserve">                </w:t>
      </w:r>
    </w:p>
    <w:p>
      <w:pPr>
        <w:pStyle w:val="Normal"/>
        <w:spacing w:lineRule="auto" w:line="360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סולחה היא כלי לבר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משפטי להשכנת שלום בין יריבים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וערכה לעניין העונש הוא בכך שהנאשם מקבל על עצמו אחריות למעשיו ומביע חרטת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אמת על מעשהו תוך פיצוי קורבנות העבירה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  <w:t xml:space="preserve"> </w:t>
      </w:r>
      <w:hyperlink r:id="rId52">
        <w:r>
          <w:rPr>
            <w:rStyle w:val="Hyperlink"/>
            <w:b/>
            <w:b/>
            <w:bCs/>
            <w:color w:val="0000FF"/>
            <w:u w:val="single"/>
            <w:rtl w:val="true"/>
          </w:rPr>
          <w:t>בש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10114/01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מדינת ישראל נ</w:t>
      </w:r>
      <w:r>
        <w:rPr>
          <w:rtl w:val="true"/>
        </w:rPr>
        <w:t xml:space="preserve">' </w:t>
      </w:r>
      <w:r>
        <w:rPr>
          <w:rtl w:val="true"/>
        </w:rPr>
        <w:t>עדנאן חמדאן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 פורסם</w:t>
      </w:r>
      <w:r>
        <w:rPr>
          <w:b/>
          <w:bCs/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סולחה אינה מהווה תחליף לענישה חוקית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 לראות בה כלי טקטי לצורכי משפט</w:t>
      </w:r>
      <w:r>
        <w:rPr>
          <w:b/>
          <w:bCs/>
          <w:rtl w:val="true"/>
        </w:rPr>
        <w:t>"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ואילו ב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8280/11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מחמוד בכר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[</w:t>
      </w:r>
      <w:r>
        <w:rPr/>
        <w:t>24.4.12</w:t>
      </w:r>
      <w:r>
        <w:rPr>
          <w:rtl w:val="true"/>
        </w:rPr>
        <w:t xml:space="preserve">] </w:t>
      </w:r>
      <w:r>
        <w:rPr>
          <w:rtl w:val="true"/>
        </w:rPr>
        <w:t>מצינו דברים באשר למשקלה של הסולחה לזכותו של הנאשם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                       </w:t>
      </w:r>
    </w:p>
    <w:p>
      <w:pPr>
        <w:pStyle w:val="Normal"/>
        <w:spacing w:lineRule="auto" w:line="360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נו</w:t>
      </w:r>
      <w:r>
        <w:rPr>
          <w:b/>
          <w:b/>
          <w:bCs/>
          <w:rtl w:val="true"/>
        </w:rPr>
        <w:t>סיף באשר להסכם הסולחה החדש שהושג בין הצדדים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 על אף שהסכם סולחה יכול להוות שיקול לזכות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 מדובר בשיקול מכריע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בנוסף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הסכמי סולחה אינם יכולים לבוא תחת מעורבותן של רשויות המדינה</w:t>
      </w:r>
      <w:r>
        <w:rPr>
          <w:b/>
          <w:bCs/>
          <w:rtl w:val="true"/>
        </w:rPr>
        <w:t>, "</w:t>
      </w:r>
      <w:r>
        <w:rPr>
          <w:b/>
          <w:b/>
          <w:bCs/>
          <w:rtl w:val="true"/>
        </w:rPr>
        <w:t>בפרט כאשר מדובר במעשים שבמהותם מבטאים נטילת החוק לידיים לצורך פתרון סכסוכים תחת פניה לרשויות המוסמכות</w:t>
      </w:r>
      <w:r>
        <w:rPr>
          <w:b/>
          <w:bCs/>
          <w:rtl w:val="true"/>
        </w:rPr>
        <w:t>" (</w:t>
      </w:r>
      <w:hyperlink r:id="rId54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8564/10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זועבי נ</w:t>
      </w:r>
      <w:r>
        <w:rPr>
          <w:rtl w:val="true"/>
        </w:rPr>
        <w:t xml:space="preserve">' </w:t>
      </w:r>
      <w:r>
        <w:rPr>
          <w:rtl w:val="true"/>
        </w:rPr>
        <w:t>מדינת ישראל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לפסק דיני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 פורסם</w:t>
      </w:r>
      <w:r>
        <w:rPr>
          <w:b/>
          <w:bCs/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3.3.2011</w:t>
      </w:r>
      <w:r>
        <w:rPr>
          <w:b/>
          <w:bCs/>
          <w:rtl w:val="true"/>
        </w:rPr>
        <w:t>))</w:t>
      </w:r>
      <w:r>
        <w:rPr>
          <w:b/>
          <w:bCs/>
          <w:rtl w:val="true"/>
        </w:rPr>
        <w:t>"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46</w:t>
      </w:r>
      <w:r>
        <w:rPr>
          <w:rtl w:val="true"/>
        </w:rPr>
        <w:t xml:space="preserve">. </w:t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יש לזכור הסולחה נערכת בעיקרה בין המשפחות וכוחה הוא בשיפור וטיוב היחסים שבין שתי המשפחות</w:t>
      </w:r>
      <w:r>
        <w:rPr>
          <w:rtl w:val="true"/>
        </w:rPr>
        <w:t xml:space="preserve">, </w:t>
      </w:r>
      <w:r>
        <w:rPr>
          <w:rtl w:val="true"/>
        </w:rPr>
        <w:t>כאשר תשלום הפיצוי מובא בחשבון לעניין הענישה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לא נתעלם מהסכם הסולחה</w:t>
      </w:r>
      <w:r>
        <w:rPr>
          <w:rtl w:val="true"/>
        </w:rPr>
        <w:t xml:space="preserve">, </w:t>
      </w:r>
      <w:r>
        <w:rPr>
          <w:rtl w:val="true"/>
        </w:rPr>
        <w:t>כשיקול בין מכלול השיקולים העומדים לזכות הנאשם</w:t>
      </w:r>
      <w:r>
        <w:rPr>
          <w:rtl w:val="true"/>
        </w:rPr>
        <w:t xml:space="preserve">, </w:t>
      </w:r>
      <w:r>
        <w:rPr>
          <w:rtl w:val="true"/>
        </w:rPr>
        <w:t>אם כי אין בו משום שיקול מכריע</w:t>
      </w:r>
      <w:r>
        <w:rPr>
          <w:rtl w:val="true"/>
        </w:rPr>
        <w:t xml:space="preserve">. </w:t>
      </w:r>
      <w:r>
        <w:rPr>
          <w:rtl w:val="true"/>
        </w:rPr>
        <w:t>בפרט נתחשב בעובדה כי המשפחה שילמה פיצוי למשפחת המנוח</w:t>
      </w:r>
      <w:r>
        <w:rPr>
          <w:rtl w:val="true"/>
        </w:rPr>
        <w:t xml:space="preserve">, </w:t>
      </w:r>
      <w:r>
        <w:rPr>
          <w:rtl w:val="true"/>
        </w:rPr>
        <w:t>וזאת לצורך קביעת רכיב הפיצויים בשיקולי הענישה שישקלו על ידינו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נסיבות אחרות שאינן קשורות בביצוע העבירה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47</w:t>
      </w:r>
      <w:r>
        <w:rPr>
          <w:rtl w:val="true"/>
        </w:rPr>
        <w:t xml:space="preserve">. </w:t>
        <w:tab/>
      </w:r>
      <w:r>
        <w:rPr>
          <w:rtl w:val="true"/>
        </w:rPr>
        <w:t>בבואנו לקבוע את העונש המתאים שיושת על הנאשם</w:t>
      </w:r>
      <w:r>
        <w:rPr>
          <w:rtl w:val="true"/>
        </w:rPr>
        <w:t xml:space="preserve">, </w:t>
      </w:r>
      <w:r>
        <w:rPr>
          <w:rtl w:val="true"/>
        </w:rPr>
        <w:t>התחשבנו גם בנתונים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בקשת הסליחה הכנה שהפנה הנאשם כלפי אבי המנוח</w:t>
      </w:r>
      <w:r>
        <w:rPr>
          <w:rtl w:val="true"/>
        </w:rPr>
        <w:t xml:space="preserve">, </w:t>
      </w:r>
      <w:r>
        <w:rPr>
          <w:rtl w:val="true"/>
        </w:rPr>
        <w:t>ודברי החרטה הכנים שהביע בפנינו</w:t>
      </w:r>
      <w:r>
        <w:rPr>
          <w:rtl w:val="true"/>
        </w:rPr>
        <w:t xml:space="preserve">, </w:t>
      </w:r>
      <w:r>
        <w:rPr>
          <w:rtl w:val="true"/>
        </w:rPr>
        <w:t>בין במהלך המשפט</w:t>
      </w:r>
      <w:r>
        <w:rPr>
          <w:rtl w:val="true"/>
        </w:rPr>
        <w:t xml:space="preserve">, </w:t>
      </w:r>
      <w:r>
        <w:rPr>
          <w:rtl w:val="true"/>
        </w:rPr>
        <w:t>ובין בדברים האחרונים בטרם גזר 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 שירת שירות צבאי בצה</w:t>
      </w:r>
      <w:r>
        <w:rPr>
          <w:rtl w:val="true"/>
        </w:rPr>
        <w:t>"</w:t>
      </w:r>
      <w:r>
        <w:rPr>
          <w:rtl w:val="true"/>
        </w:rPr>
        <w:t>ל חרף העובדה שהיה פטור מכך</w:t>
      </w:r>
      <w:r>
        <w:rPr>
          <w:rtl w:val="true"/>
        </w:rPr>
        <w:t xml:space="preserve">, </w:t>
      </w:r>
      <w:r>
        <w:rPr>
          <w:rtl w:val="true"/>
        </w:rPr>
        <w:t>ולמרות התנגדות סביבתו</w:t>
      </w:r>
      <w:r>
        <w:rPr>
          <w:rtl w:val="true"/>
        </w:rPr>
        <w:t xml:space="preserve">, </w:t>
      </w:r>
      <w:r>
        <w:rPr>
          <w:rtl w:val="true"/>
        </w:rPr>
        <w:t>הוא שירת שירות מלא ואף שירת שנה נוספת בשירות קבע כחייל קרבי</w:t>
      </w:r>
      <w:r>
        <w:rPr>
          <w:rtl w:val="true"/>
        </w:rPr>
        <w:t xml:space="preserve">. </w:t>
      </w:r>
      <w:r>
        <w:rPr>
          <w:rtl w:val="true"/>
        </w:rPr>
        <w:t>הוא אף הציג תעודות המעידות על הצטיינותו בעת שירותו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 xml:space="preserve">הודאתו של הנאשם במעשה מלכתחילה </w:t>
      </w:r>
      <w:r>
        <w:rPr>
          <w:rtl w:val="true"/>
        </w:rPr>
        <w:t>(</w:t>
      </w:r>
      <w:r>
        <w:rPr>
          <w:rtl w:val="true"/>
        </w:rPr>
        <w:t>אם כי לא באישום שהוגש נגדו</w:t>
      </w:r>
      <w:r>
        <w:rPr>
          <w:rtl w:val="true"/>
        </w:rPr>
        <w:t>).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לחובתו של הנאשם התחשבנו בעברו הפלילי</w:t>
      </w:r>
      <w:r>
        <w:rPr>
          <w:rtl w:val="true"/>
        </w:rPr>
        <w:t xml:space="preserve">, </w:t>
      </w:r>
      <w:r>
        <w:rPr>
          <w:rtl w:val="true"/>
        </w:rPr>
        <w:t>המתבטא בהרשעתו בעבירות של התפרצות לבית מגורים</w:t>
      </w:r>
      <w:r>
        <w:rPr>
          <w:rtl w:val="true"/>
        </w:rPr>
        <w:t xml:space="preserve">, </w:t>
      </w:r>
      <w:r>
        <w:rPr>
          <w:rtl w:val="true"/>
        </w:rPr>
        <w:t>גניבה ועבירות נלוות</w:t>
      </w:r>
      <w:r>
        <w:rPr>
          <w:rtl w:val="true"/>
        </w:rPr>
        <w:t xml:space="preserve">, </w:t>
      </w:r>
      <w:r>
        <w:rPr>
          <w:rtl w:val="true"/>
        </w:rPr>
        <w:t>בעטיין נדון 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העבירות נעברו זמן קצר לפני ביצוע העבירה נשוא כתב אישום זה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30.8.11</w:t>
      </w:r>
      <w:r>
        <w:rPr>
          <w:rtl w:val="true"/>
        </w:rPr>
        <w:t xml:space="preserve">. </w:t>
      </w:r>
      <w:r>
        <w:rPr>
          <w:rtl w:val="true"/>
        </w:rPr>
        <w:t>הנאשם חבר קודם לכן לאחרים</w:t>
      </w:r>
      <w:r>
        <w:rPr>
          <w:rtl w:val="true"/>
        </w:rPr>
        <w:t xml:space="preserve">, </w:t>
      </w:r>
      <w:r>
        <w:rPr>
          <w:rtl w:val="true"/>
        </w:rPr>
        <w:t>אשר החליטו לפרוץ לבית</w:t>
      </w:r>
      <w:r>
        <w:rPr>
          <w:rtl w:val="true"/>
        </w:rPr>
        <w:t xml:space="preserve">, </w:t>
      </w:r>
      <w:r>
        <w:rPr>
          <w:rtl w:val="true"/>
        </w:rPr>
        <w:t>אשר תושביו נעדרו</w:t>
      </w:r>
      <w:r>
        <w:rPr>
          <w:rtl w:val="true"/>
        </w:rPr>
        <w:t xml:space="preserve">, </w:t>
      </w:r>
      <w:r>
        <w:rPr>
          <w:rtl w:val="true"/>
        </w:rPr>
        <w:t>כשהם מסווים עצמם כאנשי משטרה</w:t>
      </w:r>
      <w:r>
        <w:rPr>
          <w:rtl w:val="true"/>
        </w:rPr>
        <w:t xml:space="preserve">. </w:t>
      </w:r>
      <w:r>
        <w:rPr>
          <w:rtl w:val="true"/>
        </w:rPr>
        <w:t>הנאשם ושותפיו עקרו מן הבית כספת שהיתה במקום וגנבו את תכולתה</w:t>
      </w:r>
      <w:r>
        <w:rPr>
          <w:rtl w:val="true"/>
        </w:rPr>
        <w:t xml:space="preserve">, </w:t>
      </w:r>
      <w:r>
        <w:rPr>
          <w:rtl w:val="true"/>
        </w:rPr>
        <w:t>אשר כללה ממון רב</w:t>
      </w:r>
      <w:r>
        <w:rPr>
          <w:rtl w:val="true"/>
        </w:rPr>
        <w:t xml:space="preserve">: </w:t>
      </w:r>
      <w:r>
        <w:rPr/>
        <w:t>1,800,000</w:t>
      </w:r>
      <w:r>
        <w:rPr>
          <w:rtl w:val="true"/>
        </w:rPr>
        <w:t xml:space="preserve"> ₪ </w:t>
      </w:r>
      <w:r>
        <w:rPr>
          <w:rtl w:val="true"/>
        </w:rPr>
        <w:t>במזומן</w:t>
      </w:r>
      <w:r>
        <w:rPr>
          <w:rtl w:val="true"/>
        </w:rPr>
        <w:t xml:space="preserve">, </w:t>
      </w:r>
      <w:r>
        <w:rPr/>
        <w:t>80.000</w:t>
      </w:r>
      <w:r>
        <w:rPr>
          <w:rtl w:val="true"/>
        </w:rPr>
        <w:t xml:space="preserve"> </w:t>
      </w:r>
      <w:r>
        <w:rPr>
          <w:rtl w:val="true"/>
        </w:rPr>
        <w:t>דולר במזומן</w:t>
      </w:r>
      <w:r>
        <w:rPr>
          <w:rtl w:val="true"/>
        </w:rPr>
        <w:t xml:space="preserve">,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דינרים ירדנים במזומן ובנוסף תכשיטי זהב ויהלומים</w:t>
      </w:r>
      <w:r>
        <w:rPr>
          <w:rtl w:val="true"/>
        </w:rPr>
        <w:t xml:space="preserve">, </w:t>
      </w:r>
      <w:r>
        <w:rPr>
          <w:rtl w:val="true"/>
        </w:rPr>
        <w:t>פנקסי שיקים וכרטיסי אשראי</w:t>
      </w:r>
      <w:r>
        <w:rPr>
          <w:rtl w:val="true"/>
        </w:rPr>
        <w:t xml:space="preserve">. </w:t>
      </w:r>
      <w:r>
        <w:rPr>
          <w:rtl w:val="true"/>
        </w:rPr>
        <w:t>כעולה מגזר דינו</w:t>
      </w:r>
      <w:r>
        <w:rPr>
          <w:rtl w:val="true"/>
        </w:rPr>
        <w:t xml:space="preserve">, </w:t>
      </w:r>
      <w:r>
        <w:rPr>
          <w:rtl w:val="true"/>
        </w:rPr>
        <w:t xml:space="preserve">חלקו של הנאשם היה </w:t>
      </w:r>
      <w:r>
        <w:rPr/>
        <w:t>75,000</w:t>
      </w:r>
      <w:r>
        <w:rPr>
          <w:rtl w:val="true"/>
        </w:rPr>
        <w:t xml:space="preserve"> ₪ </w:t>
      </w:r>
      <w:r>
        <w:rPr>
          <w:rtl w:val="true"/>
        </w:rPr>
        <w:t>מתוך השלל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אף תסקיר שירות המבחן לגבי הנאשם אינו חיובי</w:t>
      </w:r>
      <w:r>
        <w:rPr>
          <w:rtl w:val="true"/>
        </w:rPr>
        <w:t xml:space="preserve">. </w:t>
      </w:r>
      <w:r>
        <w:rPr>
          <w:rtl w:val="true"/>
        </w:rPr>
        <w:t>כעולה מתסקיר זה</w:t>
      </w:r>
      <w:r>
        <w:rPr>
          <w:rtl w:val="true"/>
        </w:rPr>
        <w:t xml:space="preserve">, </w:t>
      </w:r>
      <w:r>
        <w:rPr>
          <w:rtl w:val="true"/>
        </w:rPr>
        <w:t>הוא לא נטל אחריות כנה על המעשה ותוצאותיו הקטלניות</w:t>
      </w:r>
      <w:r>
        <w:rPr>
          <w:rtl w:val="true"/>
        </w:rPr>
        <w:t xml:space="preserve">, </w:t>
      </w:r>
      <w:r>
        <w:rPr>
          <w:rtl w:val="true"/>
        </w:rPr>
        <w:t>הוא גילה העדר חיבור רגשי פנימי וקושי להתייחס להשלכות מעשיו על אחרים</w:t>
      </w:r>
      <w:r>
        <w:rPr>
          <w:rtl w:val="true"/>
        </w:rPr>
        <w:t xml:space="preserve">, </w:t>
      </w:r>
      <w:r>
        <w:rPr>
          <w:rtl w:val="true"/>
        </w:rPr>
        <w:t>כמו גם הסיכון הטמון בו להישנות מעשים פוגעניים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יש לציין כי חוסר הפנמה זה והשלכת האשם על האחר</w:t>
      </w:r>
      <w:r>
        <w:rPr>
          <w:rtl w:val="true"/>
        </w:rPr>
        <w:t xml:space="preserve">, </w:t>
      </w:r>
      <w:r>
        <w:rPr>
          <w:rtl w:val="true"/>
        </w:rPr>
        <w:t>באה לידי ביטוי אף בטיעוני ההגנה לעונש</w:t>
      </w:r>
      <w:r>
        <w:rPr>
          <w:rtl w:val="true"/>
        </w:rPr>
        <w:t xml:space="preserve">, </w:t>
      </w:r>
      <w:r>
        <w:rPr>
          <w:rtl w:val="true"/>
        </w:rPr>
        <w:t>שעה שזו מתארת את מעשה הירי על ידו</w:t>
      </w:r>
      <w:r>
        <w:rPr>
          <w:rtl w:val="true"/>
        </w:rPr>
        <w:t xml:space="preserve">, </w:t>
      </w:r>
      <w:r>
        <w:rPr>
          <w:rtl w:val="true"/>
        </w:rPr>
        <w:t>כתגובה ספונטנית הזהה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 </w:t>
      </w:r>
      <w:r>
        <w:rPr>
          <w:rtl w:val="true"/>
        </w:rPr>
        <w:t>להגנה עצמית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עונש מאסר נוסף המרוצה על ידי 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48</w:t>
      </w:r>
      <w:r>
        <w:rPr>
          <w:rtl w:val="true"/>
        </w:rPr>
        <w:t xml:space="preserve">. </w:t>
        <w:tab/>
      </w:r>
      <w:r>
        <w:rPr>
          <w:rtl w:val="true"/>
        </w:rPr>
        <w:t>אנו קובעים כי אין מקום לקבוע כי העונש אשר נגזור על הנאשם כאן</w:t>
      </w:r>
      <w:r>
        <w:rPr>
          <w:rtl w:val="true"/>
        </w:rPr>
        <w:t xml:space="preserve">, </w:t>
      </w:r>
      <w:r>
        <w:rPr>
          <w:rtl w:val="true"/>
        </w:rPr>
        <w:t>ירוצה בחופף לעונש המאסר אותו הוא מרצה כיום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המדובר בעבירות שונות לחלוטין</w:t>
      </w:r>
      <w:r>
        <w:rPr>
          <w:rtl w:val="true"/>
        </w:rPr>
        <w:t xml:space="preserve">, </w:t>
      </w:r>
      <w:r>
        <w:rPr>
          <w:rtl w:val="true"/>
        </w:rPr>
        <w:t>ללא כל קשר ופגיעה בערכים מוגנים שונים</w:t>
      </w:r>
      <w:r>
        <w:rPr>
          <w:rtl w:val="true"/>
        </w:rPr>
        <w:t xml:space="preserve">, </w:t>
      </w:r>
      <w:r>
        <w:rPr>
          <w:rtl w:val="true"/>
        </w:rPr>
        <w:t>אשר גם מפגיעה בהם לא משך הנאשם 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 דבר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49</w:t>
      </w:r>
      <w:r>
        <w:rPr>
          <w:rtl w:val="true"/>
        </w:rPr>
        <w:t xml:space="preserve">. </w:t>
        <w:tab/>
      </w:r>
      <w:r>
        <w:rPr>
          <w:rtl w:val="true"/>
        </w:rPr>
        <w:t>סופו של יום</w:t>
      </w:r>
      <w:r>
        <w:rPr>
          <w:rtl w:val="true"/>
        </w:rPr>
        <w:t xml:space="preserve">, </w:t>
      </w:r>
      <w:r>
        <w:rPr>
          <w:rtl w:val="true"/>
        </w:rPr>
        <w:t>נוכח כל האמור לעיל</w:t>
      </w:r>
      <w:r>
        <w:rPr>
          <w:rtl w:val="true"/>
        </w:rPr>
        <w:t xml:space="preserve">, </w:t>
      </w:r>
      <w:r>
        <w:rPr>
          <w:rtl w:val="true"/>
        </w:rPr>
        <w:t>ובגדר מתחם העונש ההולם</w:t>
      </w:r>
      <w:r>
        <w:rPr>
          <w:rtl w:val="true"/>
        </w:rPr>
        <w:t xml:space="preserve">, </w:t>
      </w:r>
      <w:r>
        <w:rPr>
          <w:rtl w:val="true"/>
        </w:rPr>
        <w:t>אשר ראינו לקבוע לעיל</w:t>
      </w:r>
      <w:r>
        <w:rPr>
          <w:rtl w:val="true"/>
        </w:rPr>
        <w:t xml:space="preserve">, </w:t>
      </w:r>
      <w:r>
        <w:rPr>
          <w:rtl w:val="true"/>
        </w:rPr>
        <w:t>אנו מחליטים להשית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 xml:space="preserve">עונש מאסר בן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עונש זה יצטבר לכל עונש מאסר אחר אותו מרצה הנאשם</w:t>
      </w:r>
      <w:r>
        <w:rPr>
          <w:rtl w:val="true"/>
        </w:rPr>
        <w:t xml:space="preserve">. </w:t>
      </w:r>
      <w:r>
        <w:rPr>
          <w:rtl w:val="true"/>
        </w:rPr>
        <w:t xml:space="preserve">מתקופת המאסר ינוכו </w:t>
      </w:r>
      <w:r>
        <w:rPr/>
        <w:t>109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אשר כמוסכם</w:t>
      </w:r>
      <w:r>
        <w:rPr>
          <w:rtl w:val="true"/>
        </w:rPr>
        <w:t xml:space="preserve">, </w:t>
      </w:r>
      <w:r>
        <w:rPr>
          <w:rtl w:val="true"/>
        </w:rPr>
        <w:t>היו ימי מעצרו בגין העבירות נשוא תיק 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עונש מאסר מותנה לתקופה של שנתיים</w:t>
      </w:r>
      <w:r>
        <w:rPr>
          <w:rtl w:val="true"/>
        </w:rPr>
        <w:t xml:space="preserve">, </w:t>
      </w:r>
      <w:r>
        <w:rPr>
          <w:rtl w:val="true"/>
        </w:rPr>
        <w:t>כאשר התנאי הוא כי הנאשם לא יעבור כל עבירות אלימות</w:t>
      </w:r>
      <w:r>
        <w:rPr>
          <w:rtl w:val="true"/>
        </w:rPr>
        <w:t xml:space="preserve">, </w:t>
      </w:r>
      <w:r>
        <w:rPr>
          <w:rtl w:val="true"/>
        </w:rPr>
        <w:t>או עבירה בנשק</w:t>
      </w:r>
      <w:r>
        <w:rPr>
          <w:rtl w:val="true"/>
        </w:rPr>
        <w:t xml:space="preserve">, </w:t>
      </w:r>
      <w:r>
        <w:rPr>
          <w:rtl w:val="true"/>
        </w:rPr>
        <w:t>שהינן מסוג פשע</w:t>
      </w:r>
      <w:r>
        <w:rPr>
          <w:rtl w:val="true"/>
        </w:rPr>
        <w:t xml:space="preserve">, </w:t>
      </w:r>
      <w:r>
        <w:rPr>
          <w:rtl w:val="true"/>
        </w:rPr>
        <w:t xml:space="preserve">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 xml:space="preserve">פיצוי אלמנת הקורבן ובנו בסך </w:t>
      </w:r>
      <w:r>
        <w:rPr/>
        <w:t>50,000</w:t>
      </w:r>
      <w:r>
        <w:rPr>
          <w:rtl w:val="true"/>
        </w:rPr>
        <w:t xml:space="preserve"> ₪ - </w:t>
      </w:r>
      <w:r>
        <w:rPr>
          <w:rtl w:val="true"/>
        </w:rPr>
        <w:t>בקביעת פיצוי זה התחשבנו בסכום ששילמה משפחת הנאשם למשפחת הקרבן</w:t>
      </w:r>
      <w:r>
        <w:rPr>
          <w:rtl w:val="true"/>
        </w:rPr>
        <w:t xml:space="preserve">, </w:t>
      </w:r>
      <w:r>
        <w:rPr>
          <w:rtl w:val="true"/>
        </w:rPr>
        <w:t>במסגרת הסכם הסולחה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108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לא ראינו לגזור קנס כספי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אדר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23/02/2014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כ הנאשם והנאשם </w:t>
      </w:r>
      <w:r>
        <w:rPr>
          <w:b/>
          <w:b/>
          <w:bCs/>
          <w:rtl w:val="true"/>
        </w:rPr>
        <w:t>בעצמו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  <w:gridCol w:w="360"/>
        <w:gridCol w:w="2406"/>
        <w:gridCol w:w="346"/>
        <w:gridCol w:w="2576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eastAsia="Times New Roman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eastAsia="Times New Roman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40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יצחק כהן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נשיא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–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אב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0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ascii="Courier New" w:hAnsi="Courier New" w:eastAsia="Times New Roman" w:cs="Courier New"/>
                <w:b/>
                <w:b/>
                <w:bCs/>
                <w:rtl w:val="true"/>
              </w:rPr>
              <w:t>ב</w:t>
            </w:r>
            <w:r>
              <w:rPr>
                <w:rFonts w:ascii="Courier New" w:hAnsi="Courier New" w:eastAsia="Times New Roman" w:cs="Courier New"/>
                <w:b/>
                <w:b/>
                <w:bCs/>
                <w:rtl w:val="true"/>
              </w:rPr>
              <w:t>נימין</w:t>
            </w:r>
            <w:r>
              <w:rPr>
                <w:rFonts w:ascii="Courier New" w:hAnsi="Courier New" w:eastAsia="Times New Roman" w:cs="Courier New"/>
                <w:b/>
                <w:b/>
                <w:bCs/>
                <w:rtl w:val="true"/>
              </w:rPr>
              <w:t xml:space="preserve"> ארבל</w:t>
            </w: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eastAsia="Times New Roman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ascii="Courier New" w:hAnsi="Courier New" w:eastAsia="Times New Roman" w:cs="Courier New"/>
                <w:b/>
                <w:b/>
                <w:bCs/>
                <w:rtl w:val="true"/>
              </w:rPr>
              <w:t>סגן נשיא</w:t>
            </w:r>
          </w:p>
        </w:tc>
        <w:tc>
          <w:tcPr>
            <w:tcW w:w="34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אסתר הלמן</w:t>
            </w: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eastAsia="Times New Roman" w:cs="Courier New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bookmarkStart w:id="20" w:name="_GoBack"/>
      <w:bookmarkEnd w:id="20"/>
      <w:r>
        <w:rPr>
          <w:rtl w:val="true"/>
        </w:rPr>
        <w:t xml:space="preserve">  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יצחק כהן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6"/>
      <w:footerReference w:type="default" r:id="rId5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30634-12-11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יוסף ח</w:t>
    </w:r>
    <w:r>
      <w:rPr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טיב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  <w:rPr>
        <w:rFonts w:ascii="Times New Roman" w:hAnsi="Times New Roman"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/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WW8Num2z1">
    <w:name w:val="WW8Num2z1"/>
    <w:qFormat/>
    <w:rPr>
      <w:rFonts w:ascii="Times New Roman" w:hAnsi="Times New Roman" w:cs="Times New Roman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Calibri" w:hAnsi="Calibri" w:eastAsia="Calibri" w:cs="David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4">
    <w:name w:val="כניסה בגוף טקסט תו"/>
    <w:basedOn w:val="DefaultParagraphFont"/>
    <w:qFormat/>
    <w:rPr>
      <w:rFonts w:cs="David"/>
      <w:sz w:val="24"/>
      <w:szCs w:val="24"/>
      <w:lang w:val="en-US" w:bidi="he-IL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">
    <w:name w:val="פיסקת רשימה1"/>
    <w:basedOn w:val="Normal"/>
    <w:qFormat/>
    <w:pPr>
      <w:ind w:hanging="0" w:start="720" w:end="0"/>
    </w:pPr>
    <w:rPr>
      <w:rFonts w:ascii="Times New Roman" w:hAnsi="Times New Roman" w:eastAsia="Times New Roman" w:cs="Times New Roman"/>
    </w:rPr>
  </w:style>
  <w:style w:type="paragraph" w:styleId="BodyTextIndent">
    <w:name w:val="Body Text Indent"/>
    <w:basedOn w:val="Normal"/>
    <w:pPr>
      <w:spacing w:lineRule="auto" w:line="360"/>
      <w:ind w:hanging="720" w:start="720" w:end="0"/>
      <w:jc w:val="both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  <w:jc w:val="start"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3366" TargetMode="External"/><Relationship Id="rId3" Type="http://schemas.openxmlformats.org/officeDocument/2006/relationships/hyperlink" Target="http://www.nevo.co.il/safrut/book/3366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c.a" TargetMode="External"/><Relationship Id="rId6" Type="http://schemas.openxmlformats.org/officeDocument/2006/relationships/hyperlink" Target="http://www.nevo.co.il/law/70301/40b" TargetMode="External"/><Relationship Id="rId7" Type="http://schemas.openxmlformats.org/officeDocument/2006/relationships/hyperlink" Target="http://www.nevo.co.il/law/70301/40c.a" TargetMode="External"/><Relationship Id="rId8" Type="http://schemas.openxmlformats.org/officeDocument/2006/relationships/hyperlink" Target="http://www.nevo.co.il/law/70301/40d" TargetMode="External"/><Relationship Id="rId9" Type="http://schemas.openxmlformats.org/officeDocument/2006/relationships/hyperlink" Target="http://www.nevo.co.il/law/70301/40e" TargetMode="External"/><Relationship Id="rId10" Type="http://schemas.openxmlformats.org/officeDocument/2006/relationships/hyperlink" Target="http://www.nevo.co.il/law/70301/40i" TargetMode="External"/><Relationship Id="rId11" Type="http://schemas.openxmlformats.org/officeDocument/2006/relationships/hyperlink" Target="http://www.nevo.co.il/law/70301/45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242" TargetMode="External"/><Relationship Id="rId15" Type="http://schemas.openxmlformats.org/officeDocument/2006/relationships/hyperlink" Target="http://www.nevo.co.il/law/70301/244" TargetMode="External"/><Relationship Id="rId16" Type="http://schemas.openxmlformats.org/officeDocument/2006/relationships/hyperlink" Target="http://www.nevo.co.il/law/70301/298" TargetMode="External"/><Relationship Id="rId17" Type="http://schemas.openxmlformats.org/officeDocument/2006/relationships/hyperlink" Target="http://www.nevo.co.il/law/70301/300.a.2" TargetMode="External"/><Relationship Id="rId18" Type="http://schemas.openxmlformats.org/officeDocument/2006/relationships/hyperlink" Target="http://www.nevo.co.il/law/70301/300.a.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242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244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298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5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inks/psika/?link=&#1506;&#1508;%20864/12" TargetMode="External"/><Relationship Id="rId35" Type="http://schemas.openxmlformats.org/officeDocument/2006/relationships/hyperlink" Target="http://www.nevo.co.il/law/70301/40c.a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inks/psika/?link=&#1506;&#1508;%201353/13" TargetMode="External"/><Relationship Id="rId38" Type="http://schemas.openxmlformats.org/officeDocument/2006/relationships/hyperlink" Target="http://www.nevo.co.il/law/70301/4c.a" TargetMode="External"/><Relationship Id="rId39" Type="http://schemas.openxmlformats.org/officeDocument/2006/relationships/hyperlink" Target="http://www.nevo.co.il/law/70301/40i" TargetMode="External"/><Relationship Id="rId40" Type="http://schemas.openxmlformats.org/officeDocument/2006/relationships/hyperlink" Target="http://www.nevo.co.il/links/psika/?link=&#1506;&#1508;%209369/07" TargetMode="External"/><Relationship Id="rId41" Type="http://schemas.openxmlformats.org/officeDocument/2006/relationships/hyperlink" Target="http://www.nevo.co.il/links/psika/?link=&#1506;&#1508;%207637/05" TargetMode="External"/><Relationship Id="rId42" Type="http://schemas.openxmlformats.org/officeDocument/2006/relationships/hyperlink" Target="http://www.nevo.co.il/links/psika/?link=&#1506;&#1508;%202772/11" TargetMode="External"/><Relationship Id="rId43" Type="http://schemas.openxmlformats.org/officeDocument/2006/relationships/hyperlink" Target="http://www.nevo.co.il/law/70301/40b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inks/psika/?link=&#1506;&#1508;%206968/09" TargetMode="External"/><Relationship Id="rId46" Type="http://schemas.openxmlformats.org/officeDocument/2006/relationships/hyperlink" Target="http://www.nevo.co.il/law/70301/298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40d" TargetMode="External"/><Relationship Id="rId49" Type="http://schemas.openxmlformats.org/officeDocument/2006/relationships/hyperlink" Target="http://www.nevo.co.il/law/70301/40e" TargetMode="External"/><Relationship Id="rId50" Type="http://schemas.openxmlformats.org/officeDocument/2006/relationships/hyperlink" Target="http://www.nevo.co.il/safrut/book/3366" TargetMode="External"/><Relationship Id="rId51" Type="http://schemas.openxmlformats.org/officeDocument/2006/relationships/hyperlink" Target="http://www.nevo.co.il/links/psika/?link=&#1491;&#1504;&#1508;%203260/03" TargetMode="External"/><Relationship Id="rId52" Type="http://schemas.openxmlformats.org/officeDocument/2006/relationships/hyperlink" Target="http://www.nevo.co.il/links/psika/?link=&#1489;&#1513;&#1508;%2010114/01" TargetMode="External"/><Relationship Id="rId53" Type="http://schemas.openxmlformats.org/officeDocument/2006/relationships/hyperlink" Target="http://www.nevo.co.il/links/psika/?link=&#1506;&#1508;%208280/11" TargetMode="External"/><Relationship Id="rId54" Type="http://schemas.openxmlformats.org/officeDocument/2006/relationships/hyperlink" Target="http://www.nevo.co.il/links/psika/?link=&#1506;&#1508;%208564/10" TargetMode="External"/><Relationship Id="rId55" Type="http://schemas.openxmlformats.org/officeDocument/2006/relationships/hyperlink" Target="http://www.nevo.co.il/advertisements/nevo-100.doc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2014-03-12T13:17:00Z</dcterms:created>
  <dc:creator> </dc:creator>
  <dc:description/>
  <cp:keywords/>
  <dc:language>en-IL</dc:language>
  <cp:lastModifiedBy>orly</cp:lastModifiedBy>
  <dcterms:modified xsi:type="dcterms:W3CDTF">2014-03-12T13:22:00Z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ח'טיב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">
    <vt:lpwstr>3366</vt:lpwstr>
  </property>
  <property fmtid="{D5CDD505-2E9C-101B-9397-08002B2CF9AE}" pid="9" name="CITY">
    <vt:lpwstr>נצ'</vt:lpwstr>
  </property>
  <property fmtid="{D5CDD505-2E9C-101B-9397-08002B2CF9AE}" pid="10" name="DATE">
    <vt:lpwstr>20140223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יצחק כהן;בנימין ארבל;אסתר הלמן</vt:lpwstr>
  </property>
  <property fmtid="{D5CDD505-2E9C-101B-9397-08002B2CF9AE}" pid="14" name="LAWLISTTMP1">
    <vt:lpwstr>70301/300.a.2;144.a;144.b;242;244;298;045;040c.a;004c.a;040i;040b;040d;040e</vt:lpwstr>
  </property>
  <property fmtid="{D5CDD505-2E9C-101B-9397-08002B2CF9AE}" pid="15" name="LAWYER">
    <vt:lpwstr>אבי פסטרנק;סנא ח'יר;ענאן ח'יר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30634</vt:lpwstr>
  </property>
  <property fmtid="{D5CDD505-2E9C-101B-9397-08002B2CF9AE}" pid="23" name="NEWPARTB">
    <vt:lpwstr>12</vt:lpwstr>
  </property>
  <property fmtid="{D5CDD505-2E9C-101B-9397-08002B2CF9AE}" pid="24" name="NEWPARTC">
    <vt:lpwstr>11</vt:lpwstr>
  </property>
  <property fmtid="{D5CDD505-2E9C-101B-9397-08002B2CF9AE}" pid="25" name="NEWPROC">
    <vt:lpwstr>תפח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תיקון 113</vt:lpwstr>
  </property>
  <property fmtid="{D5CDD505-2E9C-101B-9397-08002B2CF9AE}" pid="49" name="NOSE310">
    <vt:lpwstr/>
  </property>
  <property fmtid="{D5CDD505-2E9C-101B-9397-08002B2CF9AE}" pid="50" name="NOSE32">
    <vt:lpwstr>מדיניות ענישה: הריגה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15240;14739</vt:lpwstr>
  </property>
  <property fmtid="{D5CDD505-2E9C-101B-9397-08002B2CF9AE}" pid="59" name="PADIDATE">
    <vt:lpwstr>20140312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390120140223</vt:lpwstr>
  </property>
  <property fmtid="{D5CDD505-2E9C-101B-9397-08002B2CF9AE}" pid="69" name="TYPE_N_DATE">
    <vt:lpwstr>39020140223</vt:lpwstr>
  </property>
  <property fmtid="{D5CDD505-2E9C-101B-9397-08002B2CF9AE}" pid="70" name="VOLUME">
    <vt:lpwstr/>
  </property>
  <property fmtid="{D5CDD505-2E9C-101B-9397-08002B2CF9AE}" pid="71" name="WORDNUMPAGES">
    <vt:lpwstr>15</vt:lpwstr>
  </property>
</Properties>
</file>