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308-10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ירושלים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טוואשי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צבי סגל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סגן נשיא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משה דרורי ומשה יועֵד הכהן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חוסאם טוואשי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מוהנד אבו גרביה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זוהר גיאת מפרקליטות מחוז י</w:t>
      </w:r>
      <w:r>
        <w:rPr>
          <w:u w:val="none"/>
          <w:rtl w:val="true"/>
        </w:rPr>
        <w:t>-</w:t>
      </w:r>
      <w:r>
        <w:rPr>
          <w:u w:val="none"/>
          <w:rtl w:val="true"/>
        </w:rPr>
        <w:t>ם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 וב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איוב ממשרד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בולוס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sz w:val="28"/>
          <w:szCs w:val="28"/>
        </w:rPr>
      </w:pPr>
      <w:r>
        <w:rPr>
          <w:rFonts w:eastAsia="David" w:cs="FrankRuehl" w:ascii="FrankRuehl" w:hAnsi="FrankRuehl"/>
          <w:sz w:val="28"/>
          <w:szCs w:val="28"/>
          <w:rtl w:val="true"/>
        </w:rPr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ascii="FrankRuehl" w:hAnsi="FrankRuehl" w:eastAsia="David" w:cs="FrankRuehl"/>
          <w:rtl w:val="true"/>
        </w:rPr>
        <w:t>חקיקה שאוזכרה</w:t>
      </w:r>
      <w:r>
        <w:rPr>
          <w:rFonts w:eastAsia="David" w:cs="FrankRuehl" w:ascii="FrankRuehl" w:hAnsi="FrankRuehl"/>
          <w:rtl w:val="true"/>
        </w:rPr>
        <w:t xml:space="preserve">: 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hyperlink r:id="rId2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1977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sz w:val="28"/>
          <w:szCs w:val="28"/>
        </w:rPr>
      </w:pPr>
      <w:r>
        <w:rPr>
          <w:rFonts w:eastAsia="David"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rtl w:val="true"/>
        </w:rPr>
        <w:tab/>
      </w:r>
      <w:bookmarkStart w:id="10" w:name="ABSTRACT_START"/>
      <w:bookmarkEnd w:id="10"/>
      <w:r>
        <w:rPr>
          <w:rFonts w:ascii="David" w:hAnsi="David" w:cs="David"/>
          <w:sz w:val="26"/>
          <w:sz w:val="26"/>
          <w:szCs w:val="26"/>
          <w:rtl w:val="true"/>
        </w:rPr>
        <w:t>הנאשמים הודו והורשעו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פי הודאתם בכתב אישום מתוקן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אשר ייחס להם עבירות של נשיאת נשק וחבלה בכוונה מחמירה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לפי סעיפים </w:t>
      </w:r>
      <w:r>
        <w:rPr>
          <w:rFonts w:cs="David" w:ascii="David" w:hAnsi="David"/>
          <w:sz w:val="26"/>
          <w:szCs w:val="26"/>
        </w:rPr>
        <w:t>144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329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>)(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hyperlink r:id="rId3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bookmarkStart w:id="11" w:name="ABSTRACT_END"/>
      <w:bookmarkEnd w:id="11"/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 w:cs="David"/>
          <w:sz w:val="26"/>
          <w:sz w:val="26"/>
          <w:szCs w:val="26"/>
          <w:rtl w:val="true"/>
        </w:rPr>
        <w:t>העובדות העומדות ביסוד ההרשעה הן כדלקמן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 w:cs="David"/>
          <w:sz w:val="26"/>
          <w:sz w:val="26"/>
          <w:szCs w:val="26"/>
          <w:rtl w:val="true"/>
        </w:rPr>
        <w:t>שני הנאשמים הנם תומכי תנועת פת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הנו תושב ירושלים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ואילו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הנו תושב שטחי הרשות הפלסטינאית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26.12.09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קשרו השניים קשר לביצוע מה שנקרא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ידם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פיגוע הקרבה</w:t>
      </w:r>
      <w:r>
        <w:rPr>
          <w:rFonts w:cs="David" w:ascii="David" w:hAnsi="David"/>
          <w:sz w:val="26"/>
          <w:szCs w:val="26"/>
          <w:rtl w:val="true"/>
        </w:rPr>
        <w:t xml:space="preserve">", </w:t>
      </w:r>
      <w:r>
        <w:rPr>
          <w:rFonts w:ascii="David" w:hAnsi="David" w:cs="David"/>
          <w:sz w:val="26"/>
          <w:sz w:val="26"/>
          <w:szCs w:val="26"/>
          <w:rtl w:val="true"/>
        </w:rPr>
        <w:t>במהלכו יירצחו חיילים ושוטרים ישראליים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תוך הקרבת חייהם שלהם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בתחילה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ניסו הם להשיג אקדח או רובה לצורך ביצוע הפיגוע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אך לאחר שכשלו מאמציהם רקמו הם תכנית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לפיה ירצחו חיילים ושוטרים ישראליים במחסום קלנדייה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זאת באמצעות יידוי בקבוקי תבערה ודקירות סכין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לצורך השלמת תכניתם ביצעו השניים תצפיות על המחסום כדי ללמוד על רמת הבדיקה הנערכת בו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הם אף הצטיידו בבקבוק תבערה באמצעות בקבוק מזכוכית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בנזין ובד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ורכשו לעצמם סכין קצבים גדולה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שאורך להבה </w:t>
      </w:r>
      <w:r>
        <w:rPr>
          <w:rFonts w:cs="David" w:ascii="David" w:hAnsi="David"/>
          <w:sz w:val="26"/>
          <w:szCs w:val="26"/>
        </w:rPr>
        <w:t>28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ס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השניים סיכמו ביניהם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כי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יעבור ראשון את המחסום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ינצל את העובדה שהוא מחזיק בתעודת זהות ישראלית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זאת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מנת להעביר בתיקו את בקבוק התבערה ואת הסכין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מייד לאחריו יעבור גם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את שלב הבידוק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אז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פי תכניתם המקורית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ישליך אחד מהם בקבוק תבערה על אנשי הבטחון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והשני ינצל את המהומה שתיווצר וידקור בסכין את החיילים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לאחר ביצוע התצפיות החליטו השניים לפעול להגדלת אנשי בטחון במחסום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ובכך לאפשר להם לפגוע במספר רב יותר של אנשים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לצורך כך החליטו השניים להתקשר למוקד </w:t>
      </w:r>
      <w:r>
        <w:rPr>
          <w:rFonts w:cs="David" w:ascii="David" w:hAnsi="David"/>
          <w:sz w:val="26"/>
          <w:szCs w:val="26"/>
        </w:rPr>
        <w:t>100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של המשטרה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למסור הודעה כי עומד להתרחש פיגוע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ולצפות מה תהא התגובה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3.1.10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התקשרו הנאשמים למוקד </w:t>
      </w:r>
      <w:r>
        <w:rPr>
          <w:rFonts w:cs="David" w:ascii="David" w:hAnsi="David"/>
          <w:sz w:val="26"/>
          <w:szCs w:val="26"/>
        </w:rPr>
        <w:t>100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מסרו כי עומד להתרחש פיגוע דקירה במחסום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ובסמוך לאחר מכן שברו את כרטיס ה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cs="David" w:ascii="David" w:hAnsi="David"/>
          <w:sz w:val="22"/>
          <w:szCs w:val="22"/>
        </w:rPr>
        <w:t>SIM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David"/>
          <w:sz w:val="26"/>
          <w:sz w:val="26"/>
          <w:szCs w:val="26"/>
          <w:rtl w:val="true"/>
        </w:rPr>
        <w:t>במכשיר הטלפון הנייד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מנת למנוע את איתורם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וצפו במתרחש במחסום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ואכן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בסמוך לאחר מכן הגיעו כוחות מתוגברים למחסום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יומיים לאחר מכן יצאו השניים לביצוע תכניתם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הם התקשרו שוב למוקד </w:t>
      </w:r>
      <w:r>
        <w:rPr>
          <w:rFonts w:cs="David" w:ascii="David" w:hAnsi="David"/>
          <w:sz w:val="26"/>
          <w:szCs w:val="26"/>
        </w:rPr>
        <w:t>100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הפעם ממכשיר טלפון נייד אחר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ומסרו כי עומד להתבצע פיגוע דקירה במחסום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סמוך לשעה </w:t>
      </w:r>
      <w:r>
        <w:rPr>
          <w:rFonts w:cs="David" w:ascii="David" w:hAnsi="David"/>
          <w:sz w:val="26"/>
          <w:szCs w:val="26"/>
        </w:rPr>
        <w:t>11:30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הגיעו השניים למחסום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כאשר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נושא בתיקו את בקבוק התבערה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הסכין ומצת שהכינו מראש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ואילו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מחזיק בבגדיו סכין קטנה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בהתאם לתכנית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נכנס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לעמדת הבדיקה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ואילו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המתין מאחור לראות האם יצליח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לעבור את הבדיקה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דא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עקא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שבמהלך בדיקה שגרתית נתפסו בקבוק התבערה והסכין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והפיגוע המתוכנן סוכל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 w:cs="David"/>
          <w:sz w:val="26"/>
          <w:sz w:val="26"/>
          <w:szCs w:val="26"/>
          <w:rtl w:val="true"/>
        </w:rPr>
        <w:t>ראוי לציין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כי כתב האישום המקורי ייחס לנאשמים עבירות של ניסיון לרצח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קשירת קשר לביצוע פשע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ייצור נשק ונשיאת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כתב האישום הנוכחי צומצם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לעבירות של חבלה בכוונה מחמירה ונשיאת נשק בלבד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 w:cs="David"/>
          <w:sz w:val="26"/>
          <w:sz w:val="26"/>
          <w:szCs w:val="26"/>
          <w:rtl w:val="true"/>
        </w:rPr>
        <w:t>הורינו על קבלת תסקירים אודות שני הנאשמים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עיון בהם מלמדנו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כי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הנו בן </w:t>
      </w:r>
      <w:r>
        <w:rPr>
          <w:rFonts w:cs="David" w:ascii="David" w:hAnsi="David"/>
          <w:sz w:val="26"/>
          <w:szCs w:val="26"/>
        </w:rPr>
        <w:t>21.5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רווק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תושב 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ראם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אשר טרם מעצרו עבד בקליית קפה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עם תום לימודיו הוא החל לעבוד בעבודות מזדמנות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לרבות במאפיית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אנג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 w:cs="David"/>
          <w:sz w:val="26"/>
          <w:sz w:val="26"/>
          <w:szCs w:val="26"/>
          <w:rtl w:val="true"/>
        </w:rPr>
        <w:t>נאשם זה הודה גם בפני קצין המבחן בביצוע העבירות שיוחסו 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והבהיר את פשרן כרצון מטעמו להגיב על מותם של שלושה צעירים המשתייכים לתנועת החמאס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הוא חש לחץ נפשי לפעול ולעשות מעשה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מנת להשיב את תחושת השליטה בחייו ולהתמודד עם חוסר האונים שבתפקודו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שירות המבחן התרשם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כי בעת מצוקה התקשה נאשם זה לווסת את דחפיו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ופעל כפי שפעל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מנת להסיר את הלחץ הנפשי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הוא זה שגייס את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לביצוע הפעולה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ובסופו של דבר ביטא הבנה לכך שמעשיו סיכנו אנשים חפים מפשע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הוא הביע מצוקה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חרדה וקשיים בשינה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בשל כל אלה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נמנע שירות המבחן מהמלצה טיפולית אודותיו וקבע בתסקירו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כי ענישה מוחשית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כמו מאסר לא ממושך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עשויה לחדד עבורו את הגבול בין אסור למותר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הנו צעיר בן </w:t>
      </w: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תושב רמאללה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אשר עבד בעבודות מזדמנות ונטל אחריות חלקית על מעשיו בפרשה זו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לדבריו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הוא נגרר לביצוע העבירה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ידי חברו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הוא תיאר את מעורבותו בפרשה כ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מעשה ילדותי מצדו</w:t>
      </w:r>
      <w:r>
        <w:rPr>
          <w:rFonts w:cs="David" w:ascii="David" w:hAnsi="David"/>
          <w:sz w:val="26"/>
          <w:szCs w:val="26"/>
          <w:rtl w:val="true"/>
        </w:rPr>
        <w:t xml:space="preserve">", </w:t>
      </w:r>
      <w:r>
        <w:rPr>
          <w:rFonts w:ascii="David" w:hAnsi="David" w:cs="David"/>
          <w:sz w:val="26"/>
          <w:sz w:val="26"/>
          <w:szCs w:val="26"/>
          <w:rtl w:val="true"/>
        </w:rPr>
        <w:t>וטען כי לא פעל מתוך מניעים לאומניים אלא מתוך רצון לשעשוע ועקב תחושת שעמום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הוא תכנן להשתמש באשרת הכניסה שלו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מנת לעבור במחסום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שירות המבחן ציין מפורשות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כי הנאשם ביטא חרטה על מעשיו והתייחס למוקד שליטה חיצוני אשר גרם לו להצטרף 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תוך שהוא חש מושפע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ידו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נאשם זה לא ביטא אמפתיה כלפי החיילים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ומסר כי אחראי מטעם תנועת הפת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ח פנה אליו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מנת לגייסו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אך יחד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עם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זאת לא תיאר השתתפות פעילה בפעילות הפגנתית כלשהי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גם לגביו נמנע שירות המבחן מהמלצה טיפולית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אך קבע בתסקירו כי ענישה מוחשית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כמו מאסר לא ממושך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עשויה לחדד גם עבורו את הגבול בין אסור למותר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 w:cs="David"/>
          <w:sz w:val="26"/>
          <w:sz w:val="26"/>
          <w:szCs w:val="26"/>
          <w:rtl w:val="true"/>
        </w:rPr>
        <w:t>בא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כוח המאשימה עתר להשית על שני הנאשמים עונשי מאסר בפועל לתקופה ממושכת וכן מאסר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תנאי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 w:cs="David"/>
          <w:sz w:val="26"/>
          <w:sz w:val="26"/>
          <w:szCs w:val="26"/>
          <w:rtl w:val="true"/>
        </w:rPr>
        <w:t>בא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כוח הנאשמים עתר להשית על הנאשמים עונש מתון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זאת בשל הודאתם המיידית במשטרה ובבית המשפט במיוחס להם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וכן לאור גילם הצעיר ועברם הפלילי הנקי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תוך שהוא מסתמך על אסמכתאות שהציג לעיוננו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בהן נגזרו על 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בנסיבות אלו ואחרות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עונשים מתונים יחסית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פנה לבית המשפט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בשמו ובשם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והביע חרטה על מעשיהם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 w:cs="David"/>
          <w:sz w:val="26"/>
          <w:sz w:val="26"/>
          <w:szCs w:val="26"/>
          <w:rtl w:val="true"/>
        </w:rPr>
        <w:t>אין להכביר מלים בדבר חומרת מעשיהם של 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כפי שפורט לעיל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נקל לשער מה עלול היה להתרחש אילו תכניתם המקורית הייתה יוצאת לפועל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אין זה מעשה של הרף עין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אלא כזה המעיד על תכנון מוקדם ומדוקדק לפגוע באנשי בטחון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ובכמות רבה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זאת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פי ניסיון שעשו השניים יומיים קודם לביצוע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ושגרם לכוחות בטחון רבים להגיע למחסום כתוצאה מאזעקה טלפונית מצדם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 w:cs="David"/>
          <w:sz w:val="26"/>
          <w:sz w:val="26"/>
          <w:szCs w:val="26"/>
          <w:rtl w:val="true"/>
        </w:rPr>
        <w:t>מאידך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אנו מביאים בחשבון שיקולינו לעונש את העובדה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כי בסופו של דבר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למזל כולם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לא הגיעו מעשיהם של הנאשמים לכלל ביצוע מעשי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ואיש לא נפגע כתוצאה מכך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בנוסף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מביאים אנו בחשבון את הודייתם של הנאשמים במיוחס להם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את הבעת חרטתם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את עברם הנקי ואת גילם הצעיר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 w:cs="David"/>
          <w:sz w:val="26"/>
          <w:sz w:val="26"/>
          <w:szCs w:val="26"/>
          <w:rtl w:val="true"/>
        </w:rPr>
        <w:t>לאחר ששקלנו את נסיבות העניין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ראינו לנכון לערוך הבחנה מסוימת בענישת שני 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שכן לסברתנו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היה דומיננטי יותר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הן בתכנון המוקדם והן בעצם גיוסו של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לביצוע הפעולה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אשר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כן אנו גוזרים על הנאשמים את העונשים כדלקמן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  <w:u w:val="single"/>
        </w:rPr>
        <w:t>1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החל מיום מעצרו </w:t>
      </w:r>
      <w:r>
        <w:rPr>
          <w:rFonts w:ascii="David" w:hAnsi="David" w:cs="David"/>
          <w:sz w:val="26"/>
          <w:sz w:val="26"/>
          <w:szCs w:val="26"/>
          <w:rtl w:val="true"/>
        </w:rPr>
        <w:t>–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5.1.10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חודשי מאסר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תנאי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שלא יעבור תוך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שנים מיום שחרורו ממאסרו עבירת אלימות כלשהי מסוג פשע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  <w:u w:val="single"/>
        </w:rPr>
        <w:t>2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החל מיום מעצרו </w:t>
      </w:r>
      <w:r>
        <w:rPr>
          <w:rFonts w:ascii="David" w:hAnsi="David" w:cs="David"/>
          <w:sz w:val="26"/>
          <w:sz w:val="26"/>
          <w:szCs w:val="26"/>
          <w:rtl w:val="true"/>
        </w:rPr>
        <w:t>–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5.1.10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חודשי מאסר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תנאי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שלא יעבור תוך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שנים מיום שחרורו ממאסרו עבירת אלימות כלשהי מסוג פשע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 xml:space="preserve">הודעה לנאשמים זכותם לערער לבית המשפט העליון תוך </w:t>
      </w:r>
      <w:r>
        <w:rPr>
          <w:rFonts w:cs="David" w:ascii="David" w:hAnsi="David"/>
          <w:b/>
          <w:bCs/>
          <w:sz w:val="26"/>
          <w:szCs w:val="26"/>
          <w:u w:val="single"/>
        </w:rPr>
        <w:t>45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יום מהיום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#10#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ניתן והודע היום כ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 תמוז תש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05/07/2010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במעמד הנוכחים</w:t>
      </w:r>
      <w:r>
        <w:rPr>
          <w:b/>
          <w:bCs/>
          <w:sz w:val="26"/>
          <w:szCs w:val="26"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צבי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סגל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דרורי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יועד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הכהן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David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David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546783135129371</w:t>
      </w:r>
    </w:p>
    <w:p>
      <w:pPr>
        <w:pStyle w:val="David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cs="David" w:ascii="David" w:hAnsi="David"/>
          <w:b/>
          <w:bCs/>
          <w:sz w:val="28"/>
          <w:szCs w:val="28"/>
          <w:rtl w:val="true"/>
        </w:rPr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צבי סגל </w:t>
      </w:r>
      <w:r>
        <w:rPr>
          <w:color w:val="000000"/>
          <w:sz w:val="22"/>
          <w:szCs w:val="22"/>
        </w:rPr>
        <w:t>54678313-308/10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אלינה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קומשצקי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/Users/liorb/Downloads/study2025-p2/ME-10-308-959.doc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308-10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חוסאם טוואשי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2016-02-08T14:59:00Z</dcterms:created>
  <dc:creator> </dc:creator>
  <dc:description/>
  <cp:keywords/>
  <dc:language>en-IL</dc:language>
  <cp:lastModifiedBy>hofit</cp:lastModifiedBy>
  <dcterms:modified xsi:type="dcterms:W3CDTF">2016-02-08T14:59:00Z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חוסאם טוואשי ;מוהנד אבו גרביה </vt:lpwstr>
  </property>
  <property fmtid="{D5CDD505-2E9C-101B-9397-08002B2CF9AE}" pid="4" name="CITY">
    <vt:lpwstr>י-ם</vt:lpwstr>
  </property>
  <property fmtid="{D5CDD505-2E9C-101B-9397-08002B2CF9AE}" pid="5" name="DATE">
    <vt:lpwstr>20100705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צבי סגל;משה דרורי ;משה יועֵד הכהן</vt:lpwstr>
  </property>
  <property fmtid="{D5CDD505-2E9C-101B-9397-08002B2CF9AE}" pid="9" name="LAWLISTTMP1">
    <vt:lpwstr>70301</vt:lpwstr>
  </property>
  <property fmtid="{D5CDD505-2E9C-101B-9397-08002B2CF9AE}" pid="10" name="LAWYER">
    <vt:lpwstr>זוהר גיאת ;איוב ;בולוס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308</vt:lpwstr>
  </property>
  <property fmtid="{D5CDD505-2E9C-101B-9397-08002B2CF9AE}" pid="24" name="NEWPARTB">
    <vt:lpwstr/>
  </property>
  <property fmtid="{D5CDD505-2E9C-101B-9397-08002B2CF9AE}" pid="25" name="NEWPARTC">
    <vt:lpwstr>10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>308</vt:lpwstr>
  </property>
  <property fmtid="{D5CDD505-2E9C-101B-9397-08002B2CF9AE}" pid="32" name="PROCYEAR">
    <vt:lpwstr>10</vt:lpwstr>
  </property>
  <property fmtid="{D5CDD505-2E9C-101B-9397-08002B2CF9AE}" pid="33" name="PSAKDIN">
    <vt:lpwstr>גזר-דין</vt:lpwstr>
  </property>
  <property fmtid="{D5CDD505-2E9C-101B-9397-08002B2CF9AE}" pid="34" name="RemarkFileName">
    <vt:lpwstr>mechozi me 10 308 959 htm</vt:lpwstr>
  </property>
  <property fmtid="{D5CDD505-2E9C-101B-9397-08002B2CF9AE}" pid="35" name="TYPE">
    <vt:lpwstr>2</vt:lpwstr>
  </property>
  <property fmtid="{D5CDD505-2E9C-101B-9397-08002B2CF9AE}" pid="36" name="TYPE_ABS_DATE">
    <vt:lpwstr>390020100705</vt:lpwstr>
  </property>
  <property fmtid="{D5CDD505-2E9C-101B-9397-08002B2CF9AE}" pid="37" name="TYPE_N_DATE">
    <vt:lpwstr>39020100705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