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30875-04-17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אלעומרי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KodchiangUPC" w:hAnsi="KodchiangUPC" w:cs="KodchiangUPC"/>
          <w:b/>
          <w:bCs/>
        </w:rPr>
      </w:pPr>
      <w:r>
        <w:rPr>
          <w:b/>
          <w:b/>
          <w:bCs/>
          <w:rtl w:val="true"/>
        </w:rPr>
        <w:t>לפני</w:t>
      </w:r>
      <w:r>
        <w:rPr>
          <w:rFonts w:cs="KodchiangUPC" w:ascii="KodchiangUPC" w:hAnsi="KodchiangUPC"/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כב</w:t>
      </w:r>
      <w:r>
        <w:rPr>
          <w:rFonts w:cs="KodchiangUPC" w:ascii="KodchiangUPC" w:hAnsi="KodchiangUPC"/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סגן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rFonts w:cs="KodchiangUPC" w:ascii="KodchiangUPC" w:hAnsi="KodchiangUPC"/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השופט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זלוצ</w:t>
      </w:r>
      <w:r>
        <w:rPr>
          <w:rFonts w:cs="KodchiangUPC" w:ascii="KodchiangUPC" w:hAnsi="KodchiangUPC"/>
          <w:b/>
          <w:bCs/>
          <w:rtl w:val="true"/>
        </w:rPr>
        <w:t>'</w:t>
      </w:r>
      <w:r>
        <w:rPr>
          <w:b/>
          <w:b/>
          <w:bCs/>
          <w:rtl w:val="true"/>
        </w:rPr>
        <w:t>ובר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rFonts w:ascii="KodchiangUPC" w:hAnsi="KodchiangUPC" w:cs="KodchiangUPC"/>
          <w:b/>
          <w:b/>
          <w:bCs/>
          <w:rtl w:val="true"/>
        </w:rPr>
        <w:t>–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KodchiangUPC" w:ascii="KodchiangUPC" w:hAnsi="KodchiangUPC"/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spacing w:lineRule="auto" w:line="360"/>
        <w:ind w:end="0"/>
        <w:jc w:val="start"/>
        <w:rPr>
          <w:rFonts w:ascii="KodchiangUPC" w:hAnsi="KodchiangUPC" w:cs="KodchiangUPC"/>
          <w:b/>
          <w:bCs/>
        </w:rPr>
      </w:pPr>
      <w:r>
        <w:rPr>
          <w:rFonts w:eastAsia="KodchiangUPC" w:cs="KodchiangUPC" w:ascii="KodchiangUPC" w:hAnsi="KodchiangUPC"/>
          <w:b/>
          <w:bCs/>
          <w:rtl w:val="true"/>
        </w:rPr>
        <w:t xml:space="preserve">          </w:t>
      </w:r>
      <w:r>
        <w:rPr>
          <w:b/>
          <w:b/>
          <w:bCs/>
          <w:rtl w:val="true"/>
        </w:rPr>
        <w:t>כב</w:t>
      </w:r>
      <w:r>
        <w:rPr>
          <w:rFonts w:cs="KodchiangUPC" w:ascii="KodchiangUPC" w:hAnsi="KodchiangUPC"/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פרידלנדר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eastAsia="KodchiangUPC" w:cs="KodchiangUPC" w:ascii="KodchiangUPC" w:hAnsi="KodchiangUPC"/>
          <w:b/>
          <w:bCs/>
          <w:rtl w:val="true"/>
        </w:rPr>
        <w:t xml:space="preserve">          </w:t>
      </w:r>
      <w:r>
        <w:rPr>
          <w:b/>
          <w:b/>
          <w:bCs/>
          <w:rtl w:val="true"/>
        </w:rPr>
        <w:t>כב</w:t>
      </w:r>
      <w:r>
        <w:rPr>
          <w:rFonts w:cs="KodchiangUPC" w:ascii="KodchiangUPC" w:hAnsi="KodchiangUPC"/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bookmarkStart w:id="0" w:name="LastJudge"/>
      <w:r>
        <w:rPr>
          <w:b/>
          <w:b/>
          <w:bCs/>
          <w:rtl w:val="true"/>
        </w:rPr>
        <w:t>דינה</w:t>
      </w:r>
      <w:r>
        <w:rPr>
          <w:rFonts w:ascii="KodchiangUPC" w:hAnsi="KodchiangUPC" w:cs="KodchiangUPC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bookmarkEnd w:id="0"/>
      <w:r>
        <w:rPr>
          <w:rFonts w:ascii="KodchiangUPC" w:hAnsi="KodchiangUPC" w:cs="KodchiangUPC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rFonts w:ascii="KodchiangUPC" w:hAnsi="KodchiangUPC" w:cs="KodchiangUPC"/>
          <w:b/>
          <w:bCs/>
        </w:rPr>
      </w:pPr>
      <w:r>
        <w:rPr>
          <w:rFonts w:cs="KodchiangUPC" w:ascii="KodchiangUPC" w:hAnsi="KodchiangUPC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7"/>
        <w:gridCol w:w="3728"/>
        <w:gridCol w:w="3435"/>
      </w:tblGrid>
      <w:tr>
        <w:trPr>
          <w:trHeight w:val="355" w:hRule="atLeast"/>
        </w:trPr>
        <w:tc>
          <w:tcPr>
            <w:tcW w:w="165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7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4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6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72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</w:p>
        </w:tc>
        <w:tc>
          <w:tcPr>
            <w:tcW w:w="34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6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163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65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16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פיראס אלעומרי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סמא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חמאיסי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6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4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המאבק בטרור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תשע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2016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זלוצ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ובר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אלמשהדאווי</w:t>
      </w:r>
      <w:r>
        <w:rPr>
          <w:rtl w:val="true"/>
        </w:rPr>
        <w:t xml:space="preserve">"  -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קלאנסווה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עבדללה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tl w:val="true"/>
        </w:rPr>
        <w:t xml:space="preserve">"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>", "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tl w:val="true"/>
        </w:rPr>
        <w:t xml:space="preserve">",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25.11.2015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ולכסייפה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ותישאר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שיחתם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, </w:t>
      </w:r>
      <w:r>
        <w:rPr>
          <w:rtl w:val="true"/>
        </w:rPr>
        <w:t>דריסה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ודימונה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מהכביש</w:t>
      </w:r>
      <w:r>
        <w:rPr>
          <w:rtl w:val="true"/>
        </w:rPr>
        <w:t xml:space="preserve">, </w:t>
      </w:r>
      <w:r>
        <w:rPr>
          <w:rtl w:val="true"/>
        </w:rPr>
        <w:t>שישמשם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ותמיכה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85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ז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לתקנות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[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חירום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] </w:t>
        </w:r>
        <w:r>
          <w:rPr>
            <w:rStyle w:val="Hyperlink"/>
            <w:b/>
            <w:bCs/>
            <w:color w:val="0000FF"/>
            <w:u w:val="single"/>
          </w:rPr>
          <w:t>1945</w:t>
        </w:r>
        <w:r>
          <w:rPr>
            <w:rStyle w:val="Hyperlink"/>
            <w:b/>
            <w:bCs/>
            <w:color w:val="0000FF"/>
            <w:u w:val="single"/>
            <w:rtl w:val="true"/>
          </w:rPr>
          <w:t>,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בטרור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תשע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Cs/>
            <w:color w:val="0000FF"/>
            <w:u w:val="single"/>
          </w:rPr>
          <w:t>2016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למסרי</w:t>
      </w:r>
      <w:r>
        <w:rPr>
          <w:rtl w:val="true"/>
        </w:rPr>
        <w:t xml:space="preserve">,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),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-(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המשתרעים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"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tl w:val="true"/>
        </w:rPr>
        <w:t xml:space="preserve">"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8-13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לוויסי</w:t>
      </w:r>
      <w:r>
        <w:rPr>
          <w:rtl w:val="true"/>
        </w:rPr>
        <w:t xml:space="preserve">.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25-40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זרועותיהם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באזרחיה</w:t>
      </w:r>
      <w:r>
        <w:rPr>
          <w:rtl w:val="true"/>
        </w:rPr>
        <w:t xml:space="preserve">, </w:t>
      </w:r>
      <w:r>
        <w:rPr>
          <w:rtl w:val="true"/>
        </w:rPr>
        <w:t>בשלומם</w:t>
      </w:r>
      <w:r>
        <w:rPr>
          <w:rtl w:val="true"/>
        </w:rPr>
        <w:t xml:space="preserve">,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ובחייהם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איסמעיל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23.6.08</w:t>
      </w:r>
      <w:r>
        <w:rPr>
          <w:rtl w:val="true"/>
        </w:rPr>
        <w:t>):</w:t>
      </w:r>
    </w:p>
    <w:p>
      <w:pPr>
        <w:pStyle w:val="Normal"/>
        <w:spacing w:before="0" w:after="0"/>
        <w:ind w:start="720" w:end="14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להגן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תושביה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ובכלל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צה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המופקדים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ביטחון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המדינה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המכוונים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בחיי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חיילים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מחייבת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מחמירה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במיוחד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תטמיע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הגמול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וההרתעה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שמעורב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בפעילות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חוקית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המסכנת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חיים</w:t>
      </w:r>
      <w:r>
        <w:rPr>
          <w:b/>
          <w:bCs/>
          <w:sz w:val="22"/>
          <w:szCs w:val="22"/>
          <w:rtl w:val="true"/>
        </w:rPr>
        <w:t xml:space="preserve">... </w:t>
      </w:r>
      <w:r>
        <w:rPr>
          <w:b/>
          <w:b/>
          <w:bCs/>
          <w:sz w:val="22"/>
          <w:sz w:val="22"/>
          <w:szCs w:val="22"/>
          <w:rtl w:val="true"/>
        </w:rPr>
        <w:t>בסוג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מתגמדות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במשקלן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לנוכח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והסיכונים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הטמונים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למען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יידע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גורם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עויין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למדינה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ולתושביה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חמור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ביותר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יימצא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מעורב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בפעולות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שנועדו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בביטחון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אזרחי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ולקטול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חיים</w:t>
      </w:r>
      <w:r>
        <w:rPr>
          <w:b/>
          <w:bCs/>
          <w:sz w:val="22"/>
          <w:szCs w:val="22"/>
          <w:rtl w:val="true"/>
        </w:rPr>
        <w:t>".</w:t>
      </w:r>
    </w:p>
    <w:p>
      <w:pPr>
        <w:pStyle w:val="Normal"/>
        <w:spacing w:before="0" w:after="0"/>
        <w:ind w:start="720" w:end="14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סעדי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22.12.03</w:t>
      </w:r>
      <w:r>
        <w:rPr>
          <w:rtl w:val="true"/>
        </w:rPr>
        <w:t xml:space="preserve">)).  </w:t>
      </w:r>
    </w:p>
    <w:p>
      <w:pPr>
        <w:pStyle w:val="Normal"/>
        <w:spacing w:before="0" w:after="0"/>
        <w:ind w:start="720" w:end="0"/>
        <w:contextualSpacing/>
        <w:jc w:val="both"/>
        <w:rPr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התקופה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עקובה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והכול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ובעיקר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החייבים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נאמנות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מצווים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לנקוט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אמצעי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עשוי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לצמצם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היקפם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הטרור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לאותה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מטרה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מצווים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תרומתם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להרתיע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הרבים</w:t>
      </w:r>
      <w:r>
        <w:rPr>
          <w:b/>
          <w:bCs/>
          <w:sz w:val="22"/>
          <w:szCs w:val="22"/>
          <w:rtl w:val="true"/>
        </w:rPr>
        <w:t xml:space="preserve">" </w:t>
      </w:r>
      <w:r>
        <w:rPr>
          <w:b/>
          <w:b/>
          <w:bCs/>
          <w:sz w:val="22"/>
          <w:sz w:val="22"/>
          <w:szCs w:val="22"/>
          <w:rtl w:val="true"/>
        </w:rPr>
        <w:t>סעדי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([</w:t>
      </w:r>
      <w:r>
        <w:rPr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בנבו</w:t>
      </w:r>
      <w:r>
        <w:rPr>
          <w:b/>
          <w:bCs/>
          <w:sz w:val="22"/>
          <w:szCs w:val="22"/>
          <w:rtl w:val="true"/>
        </w:rPr>
        <w:t xml:space="preserve">], </w:t>
      </w:r>
      <w:r>
        <w:rPr>
          <w:b/>
          <w:bCs/>
          <w:sz w:val="22"/>
          <w:szCs w:val="22"/>
        </w:rPr>
        <w:t>22.12.03</w:t>
      </w:r>
      <w:r>
        <w:rPr>
          <w:b/>
          <w:bCs/>
          <w:sz w:val="22"/>
          <w:szCs w:val="22"/>
          <w:rtl w:val="true"/>
        </w:rPr>
        <w:t xml:space="preserve">). </w:t>
      </w:r>
      <w:r>
        <w:rPr>
          <w:b/>
          <w:b/>
          <w:bCs/>
          <w:sz w:val="22"/>
          <w:sz w:val="22"/>
          <w:szCs w:val="22"/>
          <w:rtl w:val="true"/>
        </w:rPr>
        <w:t>קישק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([</w:t>
      </w:r>
      <w:r>
        <w:rPr>
          <w:sz w:val="22"/>
          <w:sz w:val="22"/>
          <w:szCs w:val="22"/>
          <w:rtl w:val="true"/>
        </w:rPr>
        <w:t>פורסם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בנבו</w:t>
      </w:r>
      <w:r>
        <w:rPr>
          <w:sz w:val="22"/>
          <w:szCs w:val="22"/>
          <w:rtl w:val="true"/>
        </w:rPr>
        <w:t xml:space="preserve">], </w:t>
      </w:r>
      <w:r>
        <w:rPr>
          <w:sz w:val="22"/>
          <w:szCs w:val="22"/>
        </w:rPr>
        <w:t>16.5.06</w:t>
      </w:r>
      <w:r>
        <w:rPr>
          <w:sz w:val="22"/>
          <w:szCs w:val="22"/>
          <w:rtl w:val="true"/>
        </w:rPr>
        <w:t>))</w:t>
      </w:r>
    </w:p>
    <w:p>
      <w:pPr>
        <w:pStyle w:val="Normal"/>
        <w:overflowPunct w:val="false"/>
        <w:autoSpaceDE w:val="false"/>
        <w:ind w:start="720" w:end="0"/>
        <w:jc w:val="both"/>
        <w:rPr>
          <w:b/>
          <w:bCs/>
          <w:spacing w:val="10"/>
          <w:sz w:val="20"/>
          <w:szCs w:val="20"/>
        </w:rPr>
      </w:pPr>
      <w:r>
        <w:rPr>
          <w:rFonts w:cs="Arial TUR;Arial" w:ascii="Arial TUR;Arial" w:hAnsi="Arial TUR;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sz w:val="22"/>
          <w:sz w:val="22"/>
          <w:szCs w:val="22"/>
          <w:rtl w:val="true"/>
        </w:rPr>
        <w:t>אכן</w:t>
      </w:r>
      <w:r>
        <w:rPr>
          <w:rFonts w:cs="Arial TUR;Arial" w:ascii="Arial TUR;Arial" w:hAnsi="Arial TUR;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sz w:val="22"/>
          <w:sz w:val="22"/>
          <w:szCs w:val="22"/>
          <w:rtl w:val="true"/>
        </w:rPr>
        <w:t>עבירות ביטחון חמורות הן יהא מבצ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ען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יהא</w:t>
      </w:r>
      <w:r>
        <w:rPr>
          <w:b/>
          <w:bCs/>
          <w:spacing w:val="10"/>
          <w:sz w:val="22"/>
          <w:szCs w:val="22"/>
          <w:rtl w:val="true"/>
        </w:rPr>
        <w:t xml:space="preserve">,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אך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הן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חמורות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פי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כמה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כאשר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מבצעיהן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נמנים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עם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אזרחי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המדינה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ותושביה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החוברים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אל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הגרועים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שבאויבי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המדינה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ומסייעים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בידם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לבצע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פעולות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szCs w:val="22"/>
          <w:rtl w:val="true"/>
        </w:rPr>
        <w:t>טרור</w:t>
      </w:r>
      <w:r>
        <w:rPr>
          <w:b/>
          <w:bCs/>
          <w:spacing w:val="10"/>
          <w:sz w:val="22"/>
          <w:szCs w:val="22"/>
          <w:rtl w:val="true"/>
        </w:rPr>
        <w:t xml:space="preserve">" </w:t>
      </w:r>
      <w:r>
        <w:rPr>
          <w:b/>
          <w:b/>
          <w:bCs/>
          <w:sz w:val="22"/>
          <w:sz w:val="22"/>
          <w:szCs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קישק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b/>
          <w:bCs/>
          <w:spacing w:val="10"/>
          <w:sz w:val="22"/>
          <w:szCs w:val="22"/>
          <w:rtl w:val="true"/>
        </w:rPr>
        <w:t>(</w:t>
      </w:r>
      <w:r>
        <w:rPr>
          <w:b/>
          <w:bCs/>
          <w:sz w:val="22"/>
          <w:szCs w:val="22"/>
          <w:rtl w:val="true"/>
        </w:rPr>
        <w:t>[</w:t>
      </w:r>
      <w:r>
        <w:rPr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בנבו</w:t>
      </w:r>
      <w:r>
        <w:rPr>
          <w:b/>
          <w:bCs/>
          <w:sz w:val="22"/>
          <w:szCs w:val="22"/>
          <w:rtl w:val="true"/>
        </w:rPr>
        <w:t>]</w:t>
      </w:r>
      <w:r>
        <w:rPr>
          <w:b/>
          <w:bCs/>
          <w:spacing w:val="10"/>
          <w:sz w:val="22"/>
          <w:szCs w:val="22"/>
          <w:rtl w:val="true"/>
        </w:rPr>
        <w:t xml:space="preserve">, </w:t>
      </w:r>
      <w:r>
        <w:rPr>
          <w:b/>
          <w:bCs/>
          <w:spacing w:val="10"/>
          <w:sz w:val="22"/>
          <w:szCs w:val="22"/>
        </w:rPr>
        <w:t>16.5.06</w:t>
      </w:r>
      <w:r>
        <w:rPr>
          <w:b/>
          <w:bCs/>
          <w:spacing w:val="10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pacing w:val="10"/>
          <w:sz w:val="22"/>
          <w:szCs w:val="22"/>
        </w:rPr>
      </w:pPr>
      <w:r>
        <w:rPr>
          <w:rFonts w:cs="Calibri" w:ascii="Calibri" w:hAnsi="Calibri"/>
          <w:b/>
          <w:bCs/>
          <w:spacing w:val="10"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r>
        <w:rPr>
          <w:spacing w:val="6"/>
          <w:rtl w:val="true"/>
        </w:rPr>
        <w:t>על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חומרת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העבירות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ניתן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ללמוד</w:t>
      </w:r>
      <w:r>
        <w:rPr>
          <w:rFonts w:cs="Times New Roman"/>
          <w:spacing w:val="6"/>
          <w:rtl w:val="true"/>
        </w:rPr>
        <w:t xml:space="preserve"> </w:t>
      </w:r>
      <w:hyperlink r:id="rId26">
        <w:r>
          <w:rPr>
            <w:rStyle w:val="Hyperlink"/>
            <w:color w:val="0000FF"/>
            <w:spacing w:val="6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92</w:t>
        </w:r>
      </w:hyperlink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ל</w:t>
      </w:r>
      <w:hyperlink r:id="rId27">
        <w:r>
          <w:rPr>
            <w:rStyle w:val="Hyperlink"/>
            <w:color w:val="0000FF"/>
            <w:spacing w:val="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העונשין</w:t>
        </w:r>
      </w:hyperlink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הקובע</w:t>
      </w:r>
      <w:r>
        <w:rPr>
          <w:spacing w:val="6"/>
          <w:rtl w:val="true"/>
        </w:rPr>
        <w:t xml:space="preserve">: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בכללו</w:t>
      </w:r>
      <w:r>
        <w:rPr>
          <w:rtl w:val="true"/>
        </w:rPr>
        <w:t>)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מעשים מסוג זה אינם מותנים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בהצלחת המעשים בפועל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והענישה המחמירה נדרשת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שעה שהמעשים לא נשאו פרי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פוטנציאל הפגיעה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הגלום בהם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עימאד חמד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28.6.2012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360" w:start="720" w:end="0"/>
        <w:contextualSpacing/>
        <w:jc w:val="both"/>
        <w:rPr/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בעפ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אחמד בני 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29.10.2014</w:t>
      </w:r>
      <w:r>
        <w:rPr>
          <w:rtl w:val="true"/>
        </w:rPr>
        <w:t xml:space="preserve">]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before="0" w:after="240"/>
        <w:ind w:start="720" w:end="0"/>
        <w:contextualSpacing/>
        <w:jc w:val="both"/>
        <w:rPr>
          <w:rFonts w:ascii="Calibri" w:hAnsi="Calibri" w:cs="Calibri"/>
          <w:b/>
          <w:bCs/>
          <w:spacing w:val="6"/>
          <w:sz w:val="22"/>
          <w:szCs w:val="20"/>
        </w:rPr>
      </w:pPr>
      <w:r>
        <w:rPr>
          <w:b/>
          <w:bCs/>
          <w:spacing w:val="6"/>
          <w:sz w:val="22"/>
          <w:szCs w:val="22"/>
          <w:rtl w:val="true"/>
        </w:rPr>
        <w:t>"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האחד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המבחן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הצורני</w:t>
      </w:r>
      <w:r>
        <w:rPr>
          <w:b/>
          <w:bCs/>
          <w:spacing w:val="6"/>
          <w:sz w:val="22"/>
          <w:szCs w:val="22"/>
          <w:rtl w:val="true"/>
        </w:rPr>
        <w:t>-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עובדתי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שבמסגרתו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בוחנים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האם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ניתן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להפריד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פעולות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שנעשו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ברצף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ובסמיכות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יחסית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זמן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ומקום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דהיינו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האם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מדובר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בפעולה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יחידה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מתמשכת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שלא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ניתן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לפצלה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לתת</w:t>
      </w:r>
      <w:r>
        <w:rPr>
          <w:b/>
          <w:bCs/>
          <w:spacing w:val="6"/>
          <w:sz w:val="22"/>
          <w:szCs w:val="22"/>
          <w:rtl w:val="true"/>
        </w:rPr>
        <w:t>-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פעולות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שמא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בשרשרת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פעולות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עוקבות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שכל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אחת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מהן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חוליה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נפרדת</w:t>
      </w:r>
      <w:r>
        <w:rPr>
          <w:b/>
          <w:bCs/>
          <w:spacing w:val="6"/>
          <w:sz w:val="22"/>
          <w:szCs w:val="22"/>
          <w:rtl w:val="true"/>
        </w:rPr>
        <w:t xml:space="preserve">.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השני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המבחן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המהותי</w:t>
      </w:r>
      <w:r>
        <w:rPr>
          <w:b/>
          <w:bCs/>
          <w:spacing w:val="6"/>
          <w:sz w:val="22"/>
          <w:szCs w:val="22"/>
          <w:rtl w:val="true"/>
        </w:rPr>
        <w:t>-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מוסרי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שנוהג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בעיקר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בעבירות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הנעברות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בגופו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אדם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Cs/>
          <w:spacing w:val="6"/>
          <w:sz w:val="22"/>
          <w:szCs w:val="22"/>
          <w:rtl w:val="true"/>
        </w:rPr>
        <w:t>(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להבדיל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מעבירות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רכוש</w:t>
      </w:r>
      <w:r>
        <w:rPr>
          <w:b/>
          <w:bCs/>
          <w:spacing w:val="6"/>
          <w:sz w:val="22"/>
          <w:szCs w:val="22"/>
          <w:rtl w:val="true"/>
        </w:rPr>
        <w:t xml:space="preserve">),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ושבמסגרתו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מתמקדים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בנזקים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שגרמה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התנהגותו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העבריין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לנפגעי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העבירה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ובאינטרס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החברתי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שנפגע</w:t>
      </w:r>
      <w:r>
        <w:rPr>
          <w:b/>
          <w:bCs/>
          <w:spacing w:val="6"/>
          <w:sz w:val="22"/>
          <w:szCs w:val="22"/>
          <w:rtl w:val="true"/>
        </w:rPr>
        <w:t xml:space="preserve">.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במסגרת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מבחן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נבחנת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היתר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בעיקר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u w:val="single"/>
          <w:rtl w:val="true"/>
        </w:rPr>
        <w:t>שאלת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u w:val="single"/>
          <w:rtl w:val="true"/>
        </w:rPr>
        <w:t>ריבוי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u w:val="single"/>
          <w:rtl w:val="true"/>
        </w:rPr>
        <w:t>הנפגעים</w:t>
      </w:r>
      <w:r>
        <w:rPr>
          <w:b/>
          <w:bCs/>
          <w:spacing w:val="6"/>
          <w:sz w:val="22"/>
          <w:szCs w:val="22"/>
          <w:u w:val="single"/>
          <w:rtl w:val="true"/>
        </w:rPr>
        <w:t>.</w:t>
      </w:r>
      <w:r>
        <w:rPr>
          <w:b/>
          <w:bCs/>
          <w:spacing w:val="6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בהקשר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נקבע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והודגש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בשורת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פסקי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דין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כאשר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מדובר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במספר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נפגעים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ממעשה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אלימות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מעבירות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מין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לכל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מהנפגעים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אינטרס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עצמאי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לשמירה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שלום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גופו</w:t>
      </w:r>
      <w:r>
        <w:rPr>
          <w:b/>
          <w:bCs/>
          <w:spacing w:val="6"/>
          <w:sz w:val="22"/>
          <w:szCs w:val="22"/>
          <w:rtl w:val="true"/>
        </w:rPr>
        <w:t xml:space="preserve">,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מטה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הכף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לטובת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Cs/>
          <w:spacing w:val="6"/>
          <w:sz w:val="22"/>
          <w:szCs w:val="22"/>
          <w:rtl w:val="true"/>
        </w:rPr>
        <w:t>"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פיצול</w:t>
      </w:r>
      <w:r>
        <w:rPr>
          <w:b/>
          <w:bCs/>
          <w:spacing w:val="6"/>
          <w:sz w:val="22"/>
          <w:szCs w:val="22"/>
          <w:rtl w:val="true"/>
        </w:rPr>
        <w:t xml:space="preserve">"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המעשים</w:t>
      </w:r>
      <w:r>
        <w:rPr>
          <w:rFonts w:cs="Times New Roman"/>
          <w:b/>
          <w:b/>
          <w:bCs/>
          <w:spacing w:val="6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pacing w:val="6"/>
          <w:sz w:val="22"/>
          <w:sz w:val="22"/>
          <w:szCs w:val="22"/>
          <w:rtl w:val="true"/>
        </w:rPr>
        <w:t>והעונשים</w:t>
      </w:r>
      <w:r>
        <w:rPr>
          <w:b/>
          <w:bCs/>
          <w:spacing w:val="6"/>
          <w:sz w:val="22"/>
          <w:szCs w:val="22"/>
          <w:rtl w:val="true"/>
        </w:rPr>
        <w:t>".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before="0" w:after="240"/>
        <w:ind w:start="720" w:end="0"/>
        <w:contextualSpacing/>
        <w:jc w:val="both"/>
        <w:rPr>
          <w:rFonts w:ascii="Calibri" w:hAnsi="Calibri" w:cs="Calibri"/>
          <w:b/>
          <w:bCs/>
          <w:spacing w:val="6"/>
          <w:sz w:val="22"/>
          <w:szCs w:val="22"/>
        </w:rPr>
      </w:pPr>
      <w:r>
        <w:rPr>
          <w:rFonts w:cs="Calibri" w:ascii="Calibri" w:hAnsi="Calibri"/>
          <w:b/>
          <w:bCs/>
          <w:spacing w:val="6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/>
      </w:pPr>
      <w:r>
        <w:rPr>
          <w:rFonts w:ascii="Arial" w:hAnsi="Arial" w:cs="Arial"/>
          <w:rtl w:val="true"/>
        </w:rPr>
        <w:t>המדובר בשני אישומים המהווים שני אירועים נפרדים</w:t>
      </w:r>
      <w:r>
        <w:rPr>
          <w:rFonts w:cs="Arial" w:ascii="Arial" w:hAnsi="Arial"/>
          <w:rtl w:val="true"/>
        </w:rPr>
        <w:t>,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אין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מדובר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ביחידה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מתמשכת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בשרשרת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פעולות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עוקבות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אלא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במעשים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נפרדים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מבחינת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הזמן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והן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מבחינת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המקום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בענייננו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יש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לקבוע מתחמי ענישה נפרדים לכל אירוע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start="720" w:end="0"/>
        <w:contextualSpacing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,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לווסי</w:t>
      </w:r>
      <w:r>
        <w:rPr>
          <w:rtl w:val="true"/>
        </w:rPr>
        <w:t xml:space="preserve">, </w:t>
      </w:r>
      <w:r>
        <w:rPr>
          <w:rtl w:val="true"/>
        </w:rPr>
        <w:t>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1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start="720" w:end="1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 xml:space="preserve">"... </w:t>
      </w:r>
      <w:r>
        <w:rPr>
          <w:b/>
          <w:b/>
          <w:bCs/>
          <w:sz w:val="22"/>
          <w:sz w:val="22"/>
          <w:szCs w:val="22"/>
          <w:rtl w:val="true"/>
        </w:rPr>
        <w:t>אחזור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ואדגיש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מדיניות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ההחמרה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נשק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שבאה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בשורה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ארוכה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פסקי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האחרונות</w:t>
      </w:r>
      <w:r>
        <w:rPr>
          <w:b/>
          <w:bCs/>
          <w:sz w:val="22"/>
          <w:szCs w:val="22"/>
          <w:rtl w:val="true"/>
        </w:rPr>
        <w:t xml:space="preserve">... </w:t>
      </w:r>
      <w:r>
        <w:rPr>
          <w:b/>
          <w:b/>
          <w:bCs/>
          <w:sz w:val="22"/>
          <w:sz w:val="22"/>
          <w:szCs w:val="22"/>
          <w:rtl w:val="true"/>
        </w:rPr>
        <w:t>לזמינות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הבלתי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נסבלת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שאינם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מורשים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פוטנציאל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לשמש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חיסול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חשבונות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ול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פתרון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סכסוכים</w:t>
      </w:r>
      <w:r>
        <w:rPr>
          <w:b/>
          <w:bCs/>
          <w:sz w:val="22"/>
          <w:szCs w:val="22"/>
          <w:rtl w:val="true"/>
        </w:rPr>
        <w:t xml:space="preserve">', </w:t>
      </w:r>
      <w:r>
        <w:rPr>
          <w:b/>
          <w:b/>
          <w:bCs/>
          <w:sz w:val="22"/>
          <w:sz w:val="22"/>
          <w:szCs w:val="22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חמורות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נוספות</w:t>
      </w:r>
      <w:r>
        <w:rPr>
          <w:b/>
          <w:bCs/>
          <w:sz w:val="22"/>
          <w:szCs w:val="22"/>
          <w:rtl w:val="true"/>
        </w:rPr>
        <w:t xml:space="preserve">.  </w:t>
      </w:r>
      <w:r>
        <w:rPr>
          <w:b/>
          <w:b/>
          <w:bCs/>
          <w:sz w:val="22"/>
          <w:sz w:val="22"/>
          <w:szCs w:val="22"/>
          <w:rtl w:val="true"/>
        </w:rPr>
        <w:t>המציאות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בארצנו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מוכיח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הקלישאה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אודות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במערכה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הראשונה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מדויקת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לעיתים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מזומנות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ממתין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למערכה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האחרונה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ויורה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קודם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לכן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מכאן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שבעבירות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לשיקולי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ההרתעה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ממש</w:t>
      </w:r>
      <w:r>
        <w:rPr>
          <w:b/>
          <w:bCs/>
          <w:sz w:val="22"/>
          <w:szCs w:val="22"/>
          <w:rtl w:val="true"/>
        </w:rPr>
        <w:t>."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מדיניות הענישה הנהוגה בעבירות ביטחוניות אינה אחידה לאור הספקטרום הרחב של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מעורבותו היחסית של הנאשם ופוטנציאל הפגיעה הגלום בכל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נוקט בית המשפט בענישה מחמירה כלפי הפוגעים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חייליה ותושביה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>
          <w:rFonts w:ascii="Arial" w:hAnsi="Arial" w:cs="Arial"/>
          <w:b/>
          <w:bCs/>
        </w:rPr>
      </w:pP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אנס עויסאת נ</w:t>
      </w:r>
      <w:r>
        <w:rPr>
          <w:rFonts w:cs="Arimo;Times New Roman" w:ascii="Arimo;Times New Roman" w:hAnsi="Arimo;Times New Roman"/>
          <w:b/>
          <w:bCs/>
          <w:rtl w:val="true"/>
        </w:rPr>
        <w:t>'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– המערערים 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 של קשירת קשר לסיוע לאויב בזמן מלחמה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החליטו לבצע פיגוע טרור נגד אזרחים יהודים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תכננו להתלבש בלבוש חרדי ולבצע פיגוע ירי באולם שמחות המיועד לציבור החרדי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ערכו בירורים על רכישת רובה מסוחר נשק ואף נפגשו עם הסוחר מספר פעמים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צירפו השניים את המערער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לתכניתם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סייע בגיוס הכספים לקניית הרובה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השלושה לאולם השמחות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בחנו את המקום והחליטו על נתיב לפיגוע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בחודש ינואר התגלע סכסוך בין השניים לבין המערער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צירפו לתכניתם אדם אחר במקומו עמו החליטו לבצע את הפיגוע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בתחילת 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המערער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והציע לו להצטרף אליו בביצוע פיגוע לעבר מטרות יהודיות והמערער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את מתחם העונש ביחס לשלושת המערערים במתחם של </w:t>
      </w:r>
      <w:r>
        <w:rPr>
          <w:rFonts w:cs="Arial" w:ascii="Arial" w:hAnsi="Arial"/>
        </w:rPr>
        <w:t>6-10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וגזר על המערערים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ואילו על המערער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 וציין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חומרת העבירות בהן הורשע המערער והסכנה הגלומה באפשרות של מימוש תוכניתו מחייבים אותנו לנקוט בענישה מחמירה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לכך מצטרפים שיקולים של הרתעת הרבים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להם נודע מקום דומיננטי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בסוג העבירות בהן עסקינן</w:t>
      </w:r>
      <w:r>
        <w:rPr>
          <w:rFonts w:cs="Arial" w:ascii="Arial" w:hAnsi="Arial"/>
          <w:b/>
          <w:bCs/>
          <w:rtl w:val="true"/>
        </w:rPr>
        <w:t xml:space="preserve">". 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>
          <w:rFonts w:ascii="Arial" w:hAnsi="Arial" w:cs="Arial"/>
        </w:rPr>
      </w:pP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6467/12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יהאד אטון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לארגון החמאס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/>
      </w:pPr>
      <w:r>
        <w:rPr>
          <w:rFonts w:ascii="Arial" w:hAnsi="Arial" w:cs="Arial"/>
          <w:rtl w:val="true"/>
        </w:rPr>
        <w:t>המערער יצר קשר עם פעיל בארגון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 בהוראתו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;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למשימה</w:t>
      </w:r>
      <w:r>
        <w:rPr>
          <w:rtl w:val="true"/>
        </w:rPr>
        <w:t xml:space="preserve">;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.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26637-09-13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רומאנה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-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ascii="Arial" w:hAnsi="Arial" w:cs="Arial"/>
          <w:rtl w:val="true"/>
        </w:rPr>
        <w:t xml:space="preserve"> החליט להכין מטען חבלה ולהניחו במקום הומה אדם בירושלים כדי לרצוח מספר רב של ישראלים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כדי לממש תוכנית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הנאשם כיצד להכין חומרי נפץ ומטעני חבלה באמצעות הדרכה שמצא באינטרנט ופעל לאיסוף חומרים כימיים שונים מהם ניתן להכין חומרי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הפך חדר בביתו למעבדת ניסיונות לייצור מטעני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איסוף החומרים יצר הנאשם קשר עם שלושה תושבי רמאללה אשר מסרו לידיו חומרים שונים שנועדו להכנת מטענים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 אל אחד מהם וביקש שישיג עבורו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נקבע כי מתחם הענישה הינו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ונגזרו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4053/08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 xml:space="preserve">– המערער הורשע בעבירה של קשירת קשר לסייע לאויב במלחמה והוטל עליו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המערער אזרח 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לסייע לאדם אחר לבצע פיגוע בכך שיסיע אותו עם מטעני החבלה ממחסום דיר שרף אל 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בתמורה המערער היה צריך לקבל מטען חבלה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 המערער לא עשה דבר במסגרת הקשר והתכנית לא יצאה אל הפועל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לא התערב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לעניין עבירות הנשק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עפ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סאמי אבו אלוליאיה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המערער הורשע על פי הודאתו בעבירה של נשיאת והובלת נשק ללא רשות וכן בעבירה של נשיאת והובלת תחמושת בלא רשות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המערער נהג ברכבו </w:t>
      </w:r>
      <w:r>
        <w:rPr>
          <w:spacing w:val="10"/>
          <w:rtl w:val="true"/>
        </w:rPr>
        <w:t>מראמללה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לביתו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שבקלנדיה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והבחין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בנוסע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ברכב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אחר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משליך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צד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הדרך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זמן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מסוים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לאחר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מכן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למקום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וחיפש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אחר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התיק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גילה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בתוכו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מקלע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מאולתר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מתכתית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המתאימה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לרובה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סער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</w:rPr>
        <w:t>M-16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שתי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מחסניות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ריקות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וקופסה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50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כדורי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9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מ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מ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עימו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התיק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והתחמושת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לחנות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שברשותו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שנמצאת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בסמוך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לביתו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בקלנדיה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והחביא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הכל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בארון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שבחנות</w:t>
      </w:r>
      <w:r>
        <w:rPr>
          <w:spacing w:val="10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המחוזי גזר על המערער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0"/>
        <w:ind w:start="105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ברוב דעות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לא התערב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0"/>
        <w:ind w:start="1055" w:end="0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hyperlink r:id="rId36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8133/15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spacing w:val="10"/>
          <w:rtl w:val="true"/>
        </w:rPr>
        <w:t>(</w:t>
      </w:r>
      <w:r>
        <w:rPr>
          <w:spacing w:val="10"/>
        </w:rPr>
        <w:t>5.4.2017</w:t>
      </w:r>
      <w:r>
        <w:rPr>
          <w:spacing w:val="10"/>
          <w:rtl w:val="true"/>
        </w:rPr>
        <w:t xml:space="preserve">) </w:t>
      </w:r>
      <w:r>
        <w:rPr>
          <w:rFonts w:eastAsia="David" w:ascii="David" w:hAnsi="David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הורשע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ונשיאת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כדין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הפרעה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לשוטר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מילוי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תפקידו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נהיגה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רישיון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וללא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פוליסת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ביטוח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כתב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האישום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שהוגש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נגדו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נהג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ברכב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רישיון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כשלצידו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נוסף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לאחר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שהבחין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ברכב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האיץ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נסיעתו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פגע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ברכב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המשטרתי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ולאחר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מכן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עצר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רכבו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וברח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מהמקום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הנוסף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ניסה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לברוח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מהרכב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כשהוא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אוחז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בתיק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נמצאו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מקלע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מאולתרים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שלוש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מחסניות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וקופסת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תחמושת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המחוזי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העמיד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מתחם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העונש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12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עד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36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חודשי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והשית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14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חודשי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ערעורו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קולת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העונש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נדחה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העליון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ציין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העונש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שהושת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עליו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נוטה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לקולא</w:t>
      </w:r>
      <w:r>
        <w:rPr>
          <w:spacing w:val="10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עפ </w:t>
        </w:r>
        <w:r>
          <w:rPr>
            <w:rStyle w:val="Hyperlink"/>
            <w:rFonts w:cs="Arial" w:ascii="Arial" w:hAnsi="Arial"/>
            <w:color w:val="0000FF"/>
            <w:u w:val="single"/>
          </w:rPr>
          <w:t>5646/15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סאמח תיהאווי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המערער וויסאם הורשעו בעבירה של החזקת נשק בצוותא חדא 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רישא וסיפא</w:t>
      </w:r>
      <w:r>
        <w:rPr>
          <w:rFonts w:cs="Arial" w:ascii="Arial" w:hAnsi="Arial"/>
          <w:rtl w:val="true"/>
        </w:rPr>
        <w:t xml:space="preserve">)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המערער וויסאם החזיקו ברכב בו שהו אקדח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Cambria" w:ascii="Cambria" w:hAnsi="Cambria"/>
        </w:rPr>
        <w:t>S&amp;W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העונש שנקבע הוא </w:t>
      </w:r>
      <w:r>
        <w:rPr>
          <w:rFonts w:cs="Arial" w:ascii="Arial" w:hAnsi="Arial"/>
        </w:rPr>
        <w:t>9-36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ונגזרו על המערער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ערעורו על חומרת העונש נדחה ובית המשפט העליון הדגיש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before="0" w:after="0"/>
        <w:ind w:start="1080" w:end="0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החזקת נשק שלא כדין היא עבירה חמורה המאיימת על שלום הציבור ובטחונו ומגלמת בתוכה פוטנציאל לגרימת נזק קטלני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היא מחייבת ענישה אשר תרתיע את היחיד והרבים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המחזיק נתון תמיד לסיכון שיתפתה לעשות שימוש בנשק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ולו ברגעי לחץ ופחד</w:t>
      </w:r>
      <w:r>
        <w:rPr>
          <w:rFonts w:cs="Arial" w:ascii="Arial" w:hAnsi="Arial"/>
          <w:b/>
          <w:bCs/>
          <w:sz w:val="22"/>
          <w:szCs w:val="22"/>
          <w:rtl w:val="true"/>
        </w:rPr>
        <w:t>" (</w:t>
      </w:r>
      <w:hyperlink r:id="rId41"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3300/06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אבו סנינה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cs="Arial" w:ascii="Arial" w:hAnsi="Arial"/>
          <w:b/>
          <w:bCs/>
          <w:sz w:val="22"/>
          <w:szCs w:val="22"/>
        </w:rPr>
        <w:t>15.08.2006</w:t>
      </w:r>
      <w:r>
        <w:rPr>
          <w:rFonts w:cs="Arial" w:ascii="Arial" w:hAnsi="Arial"/>
          <w:b/>
          <w:bCs/>
          <w:sz w:val="22"/>
          <w:szCs w:val="22"/>
          <w:rtl w:val="true"/>
        </w:rPr>
        <w:t>)).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אודתאללה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29.09.2013</w:t>
      </w:r>
      <w:r>
        <w:rPr>
          <w:rFonts w:cs="Arial" w:ascii="Arial" w:hAnsi="Arial"/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המערער נהג ברכב כשהוא מוביל אקדח ובו מחסנית ריקה מכדורים מוסתר תחת השטיחון שמתחת לכיסא הנהג ברכב</w:t>
      </w:r>
      <w:r>
        <w:rPr>
          <w:rFonts w:cs="Arial" w:ascii="Arial" w:hAnsi="Arial"/>
          <w:rtl w:val="true"/>
        </w:rPr>
        <w:t xml:space="preserve">.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דחה את הערעור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4559/16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מועתאז נוסיראת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22.6.16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רשות ערעור של מבקש אשר הורשע בהחזקת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משפט השלום קבע בעניינו של אותו מבקש מתחם עונש הנע בין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התסקיר החיובי שהוגש ונסיבותיו האישיות של אותו מבקש מצא לחרוג לקולא מהמתחם שקבע וגזר על אותו מבקש שישה חודשי מאסר בפועל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קנס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המחוזי מרכז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27108-01-16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קיבל את ערעור המדינה בעניינו של אותו 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הדגיש כי מדיניות הענישה הנוהגת היא הטלת מאסר בפועל גם על מי שזו עבירתו הראשונה וגם עת מדובר בנאשם נורמטיבי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והעמיד את העונש על תשעה 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העליון ציין כי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מצאתי כי העונש שהשיתה עליו ערכאת הערעור הוא ראוי ומאזן היטב בין מכלול נסיבות העניין ובכללן חומרתה הרבה של העבירה בה הורשע ונסיבותיו המקלות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 העניי</w:t>
      </w:r>
      <w:r>
        <w:rPr>
          <w:rFonts w:ascii="Calibri" w:hAnsi="Calibri" w:cs="Calibri"/>
          <w:rtl w:val="true"/>
        </w:rPr>
        <w:t>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 שראוי לגזור עונש כולל לשני האירועים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התיישן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autoSpaceDE w:val="false"/>
        <w:spacing w:lineRule="auto" w:line="360" w:before="0" w:after="8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 דנים את הנאשם לעונשים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autoSpaceDE w:val="false"/>
        <w:spacing w:lineRule="auto" w:line="360" w:before="0" w:after="80"/>
        <w:ind w:hanging="365" w:start="733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מעצרו מיום </w:t>
      </w:r>
      <w:r>
        <w:rPr>
          <w:rFonts w:cs="Calibri" w:ascii="Calibri" w:hAnsi="Calibri"/>
        </w:rPr>
        <w:t>22.03.2017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softHyphen/>
        <w:softHyphen/>
        <w:softHyphen/>
        <w:softHyphen/>
        <w:softHyphen/>
        <w:softHyphen/>
        <w:softHyphen/>
        <w:softHyphen/>
        <w:softHyphen/>
        <w:softHyphen/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שלא יעבור במשך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 בה הורשע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 עבירה בניגוד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0" w:end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תחתיו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דינה כהן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KodchiangUPC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30875-04-17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פיראס אלעומרי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/>
        <w:bCs w:val="false"/>
        <w:rFonts w:cs="David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 w:val="false"/>
      <w:strike w:val="false"/>
      <w:dstrike w:val="false"/>
      <w:u w:val="no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92" TargetMode="External"/><Relationship Id="rId5" Type="http://schemas.openxmlformats.org/officeDocument/2006/relationships/hyperlink" Target="http://www.nevo.co.il/law/70301/99" TargetMode="External"/><Relationship Id="rId6" Type="http://schemas.openxmlformats.org/officeDocument/2006/relationships/hyperlink" Target="http://www.nevo.co.il/law/70301/99.a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gC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3729/85g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24" TargetMode="External"/><Relationship Id="rId15" Type="http://schemas.openxmlformats.org/officeDocument/2006/relationships/hyperlink" Target="http://www.nevo.co.il/law/70301/92" TargetMode="External"/><Relationship Id="rId16" Type="http://schemas.openxmlformats.org/officeDocument/2006/relationships/hyperlink" Target="http://www.nevo.co.il/law/70301/9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3729/85g" TargetMode="External"/><Relationship Id="rId19" Type="http://schemas.openxmlformats.org/officeDocument/2006/relationships/hyperlink" Target="http://www.nevo.co.il/law/73729" TargetMode="External"/><Relationship Id="rId20" Type="http://schemas.openxmlformats.org/officeDocument/2006/relationships/hyperlink" Target="http://www.nevo.co.il/law/141771/24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70301/144.a.;144.b.;144.b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150971" TargetMode="External"/><Relationship Id="rId25" Type="http://schemas.openxmlformats.org/officeDocument/2006/relationships/hyperlink" Target="http://www.nevo.co.il/case/5813431" TargetMode="External"/><Relationship Id="rId26" Type="http://schemas.openxmlformats.org/officeDocument/2006/relationships/hyperlink" Target="http://www.nevo.co.il/law/70301/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99.a" TargetMode="External"/><Relationship Id="rId29" Type="http://schemas.openxmlformats.org/officeDocument/2006/relationships/hyperlink" Target="http://www.nevo.co.il/case/13093721" TargetMode="External"/><Relationship Id="rId30" Type="http://schemas.openxmlformats.org/officeDocument/2006/relationships/hyperlink" Target="http://www.nevo.co.il/case/13093744" TargetMode="External"/><Relationship Id="rId31" Type="http://schemas.openxmlformats.org/officeDocument/2006/relationships/hyperlink" Target="http://www.nevo.co.il/case/21472947" TargetMode="External"/><Relationship Id="rId32" Type="http://schemas.openxmlformats.org/officeDocument/2006/relationships/hyperlink" Target="http://www.nevo.co.il/case/5594675" TargetMode="External"/><Relationship Id="rId33" Type="http://schemas.openxmlformats.org/officeDocument/2006/relationships/hyperlink" Target="http://www.nevo.co.il/case/8283505" TargetMode="External"/><Relationship Id="rId34" Type="http://schemas.openxmlformats.org/officeDocument/2006/relationships/hyperlink" Target="http://www.nevo.co.il/case/5784759" TargetMode="External"/><Relationship Id="rId35" Type="http://schemas.openxmlformats.org/officeDocument/2006/relationships/hyperlink" Target="http://www.nevo.co.il/case/21771409" TargetMode="External"/><Relationship Id="rId36" Type="http://schemas.openxmlformats.org/officeDocument/2006/relationships/hyperlink" Target="http://www.nevo.co.il/case/20683369" TargetMode="External"/><Relationship Id="rId37" Type="http://schemas.openxmlformats.org/officeDocument/2006/relationships/hyperlink" Target="http://www.nevo.co.il/case/20531134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887664" TargetMode="External"/><Relationship Id="rId42" Type="http://schemas.openxmlformats.org/officeDocument/2006/relationships/hyperlink" Target="http://www.nevo.co.il/case/6949290" TargetMode="External"/><Relationship Id="rId43" Type="http://schemas.openxmlformats.org/officeDocument/2006/relationships/hyperlink" Target="http://www.nevo.co.il/case/21475135" TargetMode="External"/><Relationship Id="rId44" Type="http://schemas.openxmlformats.org/officeDocument/2006/relationships/hyperlink" Target="http://www.nevo.co.il/case/20881655" TargetMode="External"/><Relationship Id="rId45" Type="http://schemas.openxmlformats.org/officeDocument/2006/relationships/hyperlink" Target="http://www.nevo.co.il/law/70301/g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2018-10-15T15:42:00Z</dcterms:created>
  <dc:creator> </dc:creator>
  <dc:description/>
  <cp:keywords/>
  <dc:language>en-IL</dc:language>
  <cp:lastModifiedBy>run</cp:lastModifiedBy>
  <dcterms:modified xsi:type="dcterms:W3CDTF">2018-10-15T15:42:00Z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פיראס אלעומרי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6150971;5813431;13093721;13093744;21472947;5594675;8283505;5784759;21771409;20683369;20531134;5887664;6949290;21475135;20881655</vt:lpwstr>
  </property>
  <property fmtid="{D5CDD505-2E9C-101B-9397-08002B2CF9AE}" pid="9" name="CITY">
    <vt:lpwstr>ב"ש</vt:lpwstr>
  </property>
  <property fmtid="{D5CDD505-2E9C-101B-9397-08002B2CF9AE}" pid="10" name="DATE">
    <vt:lpwstr>20180708</vt:lpwstr>
  </property>
  <property fmtid="{D5CDD505-2E9C-101B-9397-08002B2CF9AE}" pid="11" name="DELEMATA">
    <vt:lpwstr/>
  </property>
  <property fmtid="{D5CDD505-2E9C-101B-9397-08002B2CF9AE}" pid="12" name="JUDGE">
    <vt:lpwstr>נתן זלוצ'ובר;שלמה פרידלנדר;דינה כהן</vt:lpwstr>
  </property>
  <property fmtid="{D5CDD505-2E9C-101B-9397-08002B2CF9AE}" pid="13" name="LAWLISTTMP1">
    <vt:lpwstr>70301/092:2;099;144.a:2;144.b;144.b2;099.a;029;gC</vt:lpwstr>
  </property>
  <property fmtid="{D5CDD505-2E9C-101B-9397-08002B2CF9AE}" pid="14" name="LAWLISTTMP2">
    <vt:lpwstr>73729/085g</vt:lpwstr>
  </property>
  <property fmtid="{D5CDD505-2E9C-101B-9397-08002B2CF9AE}" pid="15" name="LAWLISTTMP3">
    <vt:lpwstr>141771/024</vt:lpwstr>
  </property>
  <property fmtid="{D5CDD505-2E9C-101B-9397-08002B2CF9AE}" pid="16" name="LAWYER">
    <vt:lpwstr>מסעד מסעד;אביגדור פלדמן;סמא חורי;עומר חמאיסי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30875</vt:lpwstr>
  </property>
  <property fmtid="{D5CDD505-2E9C-101B-9397-08002B2CF9AE}" pid="23" name="NEWPARTB">
    <vt:lpwstr>04</vt:lpwstr>
  </property>
  <property fmtid="{D5CDD505-2E9C-101B-9397-08002B2CF9AE}" pid="24" name="NEWPARTC">
    <vt:lpwstr>17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390020180708</vt:lpwstr>
  </property>
  <property fmtid="{D5CDD505-2E9C-101B-9397-08002B2CF9AE}" pid="35" name="TYPE_N_DATE">
    <vt:lpwstr>39020180708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