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b/>
                <w:bCs/>
                <w:sz w:val="26"/>
                <w:szCs w:val="26"/>
              </w:rPr>
              <w:t>30995-07-11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אלמרבוע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56"/>
        <w:gridCol w:w="5293"/>
        <w:gridCol w:w="271"/>
      </w:tblGrid>
      <w:tr>
        <w:trPr>
          <w:trHeight w:val="337" w:hRule="atLeast"/>
        </w:trPr>
        <w:tc>
          <w:tcPr>
            <w:tcW w:w="844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גבאי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רות לורך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צבי דותן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עירית וינברג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נוטוביץ</w:t>
            </w:r>
          </w:p>
        </w:tc>
        <w:tc>
          <w:tcPr>
            <w:tcW w:w="2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56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56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6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רבו אלמרבוע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אלמרבוע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אשרף אלמרבוע 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עו</w:t>
      </w:r>
      <w:r>
        <w:rPr>
          <w:rtl w:val="true"/>
        </w:rPr>
        <w:t>"</w:t>
      </w:r>
      <w:r>
        <w:rPr>
          <w:rtl w:val="true"/>
        </w:rPr>
        <w:t>ד נועה ארזי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גיל גבאי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גיל גבאי</w:t>
      </w:r>
      <w:r>
        <w:rPr>
          <w:rtl w:val="true"/>
        </w:rPr>
        <w:t xml:space="preserve">, </w:t>
      </w:r>
      <w:r>
        <w:rPr>
          <w:rtl w:val="true"/>
        </w:rPr>
        <w:t>בשם עו</w:t>
      </w:r>
      <w:r>
        <w:rPr>
          <w:rtl w:val="true"/>
        </w:rPr>
        <w:t>"</w:t>
      </w:r>
      <w:r>
        <w:rPr>
          <w:rtl w:val="true"/>
        </w:rPr>
        <w:t>ד מיקי חובה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הובאו באמצעות שב</w:t>
      </w:r>
      <w:r>
        <w:rPr>
          <w:rtl w:val="true"/>
        </w:rPr>
        <w:t>"</w:t>
      </w:r>
      <w:r>
        <w:rPr>
          <w:rtl w:val="true"/>
        </w:rPr>
        <w:t>ס</w:t>
      </w:r>
    </w:p>
    <w:p>
      <w:pPr>
        <w:pStyle w:val="Normal"/>
        <w:spacing w:lineRule="auto" w:line="360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Arial" w:hAnsi="Aria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#2#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Style w:val="LineNumber"/>
          <w:rFonts w:ascii="Arial" w:hAnsi="Arial" w:cs="Arial"/>
          <w:b/>
          <w:bCs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6" w:name="ABSTRACT_START"/>
      <w:bookmarkEnd w:id="6"/>
      <w:r>
        <w:rPr>
          <w:rtl w:val="true"/>
        </w:rPr>
        <w:t>הנאשמים הורשעו על פי הודאתם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בעבירה של קשירת קשר  לפשע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ובעבירה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>רישא 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לפי העובדות בהן הודו הנאשמים</w:t>
      </w:r>
      <w:r>
        <w:rPr>
          <w:rtl w:val="true"/>
        </w:rPr>
        <w:t xml:space="preserve">: </w:t>
      </w:r>
      <w:r>
        <w:rPr>
          <w:rtl w:val="true"/>
        </w:rPr>
        <w:t xml:space="preserve">עובר ליום </w:t>
      </w:r>
      <w:r>
        <w:rPr/>
        <w:t>13/6/11</w:t>
      </w:r>
      <w:r>
        <w:rPr>
          <w:rtl w:val="true"/>
        </w:rPr>
        <w:t xml:space="preserve"> </w:t>
      </w:r>
      <w:r>
        <w:rPr>
          <w:rtl w:val="true"/>
        </w:rPr>
        <w:t>התגלע סכסוך  בין משפחות אלמרבוע ומשפחת אבו גריבה המתגוררות בלוד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13/6/11</w:t>
      </w:r>
      <w:r>
        <w:rPr>
          <w:rtl w:val="true"/>
        </w:rPr>
        <w:t xml:space="preserve">, </w:t>
      </w:r>
      <w:r>
        <w:rPr>
          <w:rtl w:val="true"/>
        </w:rPr>
        <w:t>משהחריף הסכסוך</w:t>
      </w:r>
      <w:r>
        <w:rPr>
          <w:rtl w:val="true"/>
        </w:rPr>
        <w:t xml:space="preserve">, </w:t>
      </w:r>
      <w:r>
        <w:rPr>
          <w:rtl w:val="true"/>
        </w:rPr>
        <w:t>הוזהרו נציגי המשפחות ע</w:t>
      </w:r>
      <w:r>
        <w:rPr>
          <w:rtl w:val="true"/>
        </w:rPr>
        <w:t>"</w:t>
      </w:r>
      <w:r>
        <w:rPr>
          <w:rtl w:val="true"/>
        </w:rPr>
        <w:t>י המשטרה לבל יפגעו זו בזו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13/6/11</w:t>
      </w:r>
      <w:r>
        <w:rPr>
          <w:rtl w:val="true"/>
        </w:rPr>
        <w:t xml:space="preserve"> </w:t>
      </w:r>
      <w:r>
        <w:rPr>
          <w:rtl w:val="true"/>
        </w:rPr>
        <w:t>קשרו הנאשמים קשר לפגוע באנשים ממשפחת אבו גריבה ולצורך כך הצטיידו בשני אקדחים טעונים בכדורים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נסעו הנאשמים יחדיו ברכב ברחוב בו מתגוררים חלק מבני משפחת אבו גריבה</w:t>
      </w:r>
      <w:r>
        <w:rPr>
          <w:rtl w:val="true"/>
        </w:rPr>
        <w:t xml:space="preserve">, </w:t>
      </w:r>
      <w:r>
        <w:rPr>
          <w:rtl w:val="true"/>
        </w:rPr>
        <w:t>כשהם נושאים עמם את האקדחים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הודאת הנאשמים נעשתה במסגרת הסדר 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לאחר שמיעת חלק נכבד מפרשת 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 ההסדר</w:t>
      </w:r>
      <w:r>
        <w:rPr>
          <w:rtl w:val="true"/>
        </w:rPr>
        <w:t xml:space="preserve">, </w:t>
      </w:r>
      <w:r>
        <w:rPr>
          <w:rtl w:val="true"/>
        </w:rPr>
        <w:t xml:space="preserve">תוקן כתב האישום המקורי באופן משמעותי לקולא וכן הוסכם בין הצדדים כי יעתרו לגזור על כל אחד מהנאשמים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ומאסר מותנה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על כל עבירת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פרטו את הנימוקים שהביאו אותם להסדר 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 שמיעת הראיות עלה קושי ראייתי להוכחת העבירות שנכללו בכתב האישום המקורי</w:t>
      </w:r>
      <w:r>
        <w:rPr>
          <w:rtl w:val="true"/>
        </w:rPr>
        <w:t xml:space="preserve">. </w:t>
      </w:r>
      <w:r>
        <w:rPr>
          <w:rtl w:val="true"/>
        </w:rPr>
        <w:t>הקושי נבע מעוינותם של  עדי תביעה ומעדויות השוטרים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בין המשפחות נעשה הסכם סולחה</w:t>
      </w:r>
      <w:r>
        <w:rPr>
          <w:rtl w:val="true"/>
        </w:rPr>
        <w:t xml:space="preserve">, </w:t>
      </w:r>
      <w:r>
        <w:rPr>
          <w:rtl w:val="true"/>
        </w:rPr>
        <w:t>שעלה גם במהלך המשפט וריחף מעל עדויותיהם של העדים העוינים</w:t>
      </w:r>
      <w:r>
        <w:rPr>
          <w:rtl w:val="true"/>
        </w:rPr>
        <w:t xml:space="preserve">. </w:t>
      </w:r>
      <w:r>
        <w:rPr>
          <w:rtl w:val="true"/>
        </w:rPr>
        <w:t>לסיום הסכסוך בין המשפחות</w:t>
      </w:r>
      <w:r>
        <w:rPr>
          <w:rtl w:val="true"/>
        </w:rPr>
        <w:t xml:space="preserve">, </w:t>
      </w:r>
      <w:r>
        <w:rPr>
          <w:rtl w:val="true"/>
        </w:rPr>
        <w:t>והשכנת השקט</w:t>
      </w:r>
      <w:r>
        <w:rPr>
          <w:rtl w:val="true"/>
        </w:rPr>
        <w:t xml:space="preserve">, </w:t>
      </w:r>
      <w:r>
        <w:rPr>
          <w:rtl w:val="true"/>
        </w:rPr>
        <w:t>יש חשיבות כשהדבר מהווה חלק מאינטרס ציבורי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 הודו במיוחס להם</w:t>
      </w:r>
      <w:r>
        <w:rPr>
          <w:rtl w:val="true"/>
        </w:rPr>
        <w:t xml:space="preserve">, </w:t>
      </w:r>
      <w:r>
        <w:rPr>
          <w:rtl w:val="true"/>
        </w:rPr>
        <w:t>הביעו חרטה ומבינים את חשיבות כיבוד הסכם הסולחה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 שמיעת טיעוני הצדדים ובחינתם</w:t>
      </w:r>
      <w:r>
        <w:rPr>
          <w:rtl w:val="true"/>
        </w:rPr>
        <w:t xml:space="preserve">, </w:t>
      </w:r>
      <w:r>
        <w:rPr>
          <w:rtl w:val="true"/>
        </w:rPr>
        <w:t>בין היתר לאור הקושי הראייתי שעלה במהלך שמיעת הראיות</w:t>
      </w:r>
      <w:r>
        <w:rPr>
          <w:rtl w:val="true"/>
        </w:rPr>
        <w:t xml:space="preserve">- </w:t>
      </w:r>
      <w:r>
        <w:rPr>
          <w:rtl w:val="true"/>
        </w:rPr>
        <w:t>שוכנענו כי יש מקום לאמץ את הסדר הטיעון לעניין העונש</w:t>
      </w:r>
      <w:r>
        <w:rPr>
          <w:rtl w:val="true"/>
        </w:rPr>
        <w:t xml:space="preserve">, </w:t>
      </w:r>
      <w:r>
        <w:rPr>
          <w:rtl w:val="true"/>
        </w:rPr>
        <w:t>מהטעמים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הכלל הוא כי מן הראוי לכבד הסדר טיעון ולגזור את עונשו של הנאשם </w:t>
      </w:r>
      <w:r>
        <w:rPr>
          <w:rtl w:val="true"/>
        </w:rPr>
        <w:t>"</w:t>
      </w:r>
      <w:r>
        <w:rPr>
          <w:b/>
          <w:b/>
          <w:bCs/>
          <w:rtl w:val="true"/>
        </w:rPr>
        <w:t>בהתקיים איזון ראוי בין האינטרס הציבורי הפרטני והאינטרס הציבורי הרחב שהתביעה מייצגת מצד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 טובת ההנאה שניתנה לנאשם מצד אחר</w:t>
      </w:r>
      <w:r>
        <w:rPr>
          <w:rtl w:val="true"/>
        </w:rPr>
        <w:t>" 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 xml:space="preserve">ניתן </w:t>
      </w:r>
      <w:r>
        <w:rPr/>
        <w:t>25/12/02</w:t>
      </w:r>
      <w:r>
        <w:rPr>
          <w:rtl w:val="true"/>
        </w:rPr>
        <w:t>).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הקושי הראייתי שהביא לתיקון כתב האישום המקורי ולהסדר העונשי</w:t>
      </w:r>
      <w:r>
        <w:rPr>
          <w:rtl w:val="true"/>
        </w:rPr>
        <w:t xml:space="preserve">, </w:t>
      </w:r>
      <w:r>
        <w:rPr>
          <w:rtl w:val="true"/>
        </w:rPr>
        <w:t>עלה במהלך שמיעת הראיות</w:t>
      </w:r>
      <w:r>
        <w:rPr>
          <w:rtl w:val="true"/>
        </w:rPr>
        <w:t xml:space="preserve">, </w:t>
      </w:r>
      <w:r>
        <w:rPr>
          <w:rtl w:val="true"/>
        </w:rPr>
        <w:t>ואף אנו היינו עדים לו</w:t>
      </w:r>
      <w:r>
        <w:rPr>
          <w:rtl w:val="true"/>
        </w:rPr>
        <w:t xml:space="preserve">. </w:t>
      </w:r>
      <w:r>
        <w:rPr>
          <w:rtl w:val="true"/>
        </w:rPr>
        <w:t>מדובר בשיקול מרכזי וחשוב בהגעה להסדר טיעון בכלל</w:t>
      </w:r>
      <w:r>
        <w:rPr>
          <w:rtl w:val="true"/>
        </w:rPr>
        <w:t xml:space="preserve">, </w:t>
      </w:r>
      <w:r>
        <w:rPr>
          <w:rtl w:val="true"/>
        </w:rPr>
        <w:t xml:space="preserve">ובענייננו בפרט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2677/09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עדנאן אלעטאונה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 xml:space="preserve">ניתן </w:t>
      </w:r>
      <w:r>
        <w:rPr/>
        <w:t>4/5/09</w:t>
      </w:r>
      <w:r>
        <w:rPr>
          <w:rtl w:val="true"/>
        </w:rPr>
        <w:t>).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התנהגות הנאשמים הינה חמורה ופוגעת בערך החברתי של הגנה על חיי אדם</w:t>
      </w:r>
      <w:r>
        <w:rPr>
          <w:rtl w:val="true"/>
        </w:rPr>
        <w:t xml:space="preserve">, </w:t>
      </w:r>
      <w:r>
        <w:rPr>
          <w:rtl w:val="true"/>
        </w:rPr>
        <w:t>שלמות הגוף ושקט נפשי</w:t>
      </w:r>
      <w:r>
        <w:rPr>
          <w:rtl w:val="true"/>
        </w:rPr>
        <w:t xml:space="preserve">. </w:t>
      </w:r>
      <w:r>
        <w:rPr>
          <w:rtl w:val="true"/>
        </w:rPr>
        <w:t>הנאשמים קשרו קשר לפגוע באנשים מבני המשפחה היריבה ואף החלו לפעול למימוש הקשר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הצטיידות באקדחים טעונים ונסיעה בסמוך לבית המשפחה היריבה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לצד האמור יש להתחשב לקולא בהודיה</w:t>
      </w:r>
      <w:r>
        <w:rPr>
          <w:rtl w:val="true"/>
        </w:rPr>
        <w:t xml:space="preserve">, </w:t>
      </w:r>
      <w:r>
        <w:rPr>
          <w:rtl w:val="true"/>
        </w:rPr>
        <w:t>החרטה וההסכם אליו הגיעו נציגי שתי המשפחות</w:t>
      </w:r>
      <w:r>
        <w:rPr>
          <w:rtl w:val="true"/>
        </w:rPr>
        <w:t xml:space="preserve">, </w:t>
      </w:r>
      <w:r>
        <w:rPr>
          <w:rtl w:val="true"/>
        </w:rPr>
        <w:t>בתקווה שיהיה בו כדי להשכין את השקט והשלום בעיר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העונש לו עותרים הצדדים משקף את העיקרון המנחה בענישה</w:t>
      </w:r>
      <w:r>
        <w:rPr>
          <w:rtl w:val="true"/>
        </w:rPr>
        <w:t xml:space="preserve">, </w:t>
      </w:r>
      <w:r>
        <w:rPr>
          <w:rtl w:val="true"/>
        </w:rPr>
        <w:t>הוא מצוי במתחם העונש ההולם למעשי העבירות בהתחשב בערך החברתי שנפגע מהעבירות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בנסיבות הקשורות בביצוע העבירות ובהתחשב בנסיבותיהם של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לפיכך אנו מכבדים את ההסדר וגוזרים לאורו על כל אחד מהנאשמים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שנים מאסר בפועל 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תחל התקופה מיום </w:t>
      </w:r>
      <w:r>
        <w:rPr/>
        <w:t>13/6/11</w:t>
      </w:r>
      <w:r>
        <w:rPr>
          <w:rtl w:val="true"/>
        </w:rPr>
        <w:t xml:space="preserve">, </w:t>
      </w:r>
      <w:r>
        <w:rPr>
          <w:rtl w:val="true"/>
        </w:rPr>
        <w:t xml:space="preserve">ובעניינם של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18/6/11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מאסר על תנאי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 עבירה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 והודע היום א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חשון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17/10/2012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0"/>
        <w:gridCol w:w="339"/>
        <w:gridCol w:w="2389"/>
        <w:gridCol w:w="328"/>
        <w:gridCol w:w="2736"/>
      </w:tblGrid>
      <w:tr>
        <w:trPr/>
        <w:tc>
          <w:tcPr>
            <w:tcW w:w="273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73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רות לורך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צבי דותן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עירית וינברג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נוטוביץ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גבאי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30995-07-11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רבו אלמרבוע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1958/98" TargetMode="External"/><Relationship Id="rId4" Type="http://schemas.openxmlformats.org/officeDocument/2006/relationships/hyperlink" Target="http://www.nevo.co.il/links/psika/?link=&#1506;&#1508;%202677/09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2012-10-25T09:37:00Z</dcterms:created>
  <dc:creator> </dc:creator>
  <dc:description/>
  <cp:keywords/>
  <dc:language>en-IL</dc:language>
  <cp:lastModifiedBy>orit</cp:lastModifiedBy>
  <dcterms:modified xsi:type="dcterms:W3CDTF">2012-10-25T09:37:00Z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רבו אלמרבוע;מוחמד אלמרבוע;אשרף אלמרבוע</vt:lpwstr>
  </property>
  <property fmtid="{D5CDD505-2E9C-101B-9397-08002B2CF9AE}" pid="4" name="CITY">
    <vt:lpwstr>מרכז</vt:lpwstr>
  </property>
  <property fmtid="{D5CDD505-2E9C-101B-9397-08002B2CF9AE}" pid="5" name="DATE">
    <vt:lpwstr>20121017</vt:lpwstr>
  </property>
  <property fmtid="{D5CDD505-2E9C-101B-9397-08002B2CF9AE}" pid="6" name="ISABSTRACT">
    <vt:lpwstr>Y</vt:lpwstr>
  </property>
  <property fmtid="{D5CDD505-2E9C-101B-9397-08002B2CF9AE}" pid="7" name="JUDGE">
    <vt:lpwstr>גבאי;רות לורך [];צבי דותן;עירית וינברג נוטוביץ</vt:lpwstr>
  </property>
  <property fmtid="{D5CDD505-2E9C-101B-9397-08002B2CF9AE}" pid="8" name="LAWYER">
    <vt:lpwstr>נועה ארזי;גיל גבאי;2 גיל גבאי;מיקי חובה</vt:lpwstr>
  </property>
  <property fmtid="{D5CDD505-2E9C-101B-9397-08002B2CF9AE}" pid="9" name="NEWPARTA">
    <vt:lpwstr>30995</vt:lpwstr>
  </property>
  <property fmtid="{D5CDD505-2E9C-101B-9397-08002B2CF9AE}" pid="10" name="NEWPARTB">
    <vt:lpwstr>07</vt:lpwstr>
  </property>
  <property fmtid="{D5CDD505-2E9C-101B-9397-08002B2CF9AE}" pid="11" name="NEWPARTC">
    <vt:lpwstr>11</vt:lpwstr>
  </property>
  <property fmtid="{D5CDD505-2E9C-101B-9397-08002B2CF9AE}" pid="12" name="NEWPROC">
    <vt:lpwstr>תפח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390020121017</vt:lpwstr>
  </property>
  <property fmtid="{D5CDD505-2E9C-101B-9397-08002B2CF9AE}" pid="16" name="TYPE_N_DATE">
    <vt:lpwstr>39020121017</vt:lpwstr>
  </property>
  <property fmtid="{D5CDD505-2E9C-101B-9397-08002B2CF9AE}" pid="17" name="WORDNUMPAGES">
    <vt:lpwstr>3</vt:lpwstr>
  </property>
</Properties>
</file>