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31367-12-17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אלמליח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27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סלע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קוטון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אלמליח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ויקטור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מישייב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8"/>
          <w:szCs w:val="8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start"/>
        <w:rPr/>
      </w:pPr>
      <w:bookmarkStart w:id="7" w:name="ABSTRACT_START"/>
      <w:bookmarkEnd w:id="7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וויקטור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מישייב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הנותנים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1"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25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  <w:b/>
          <w:bCs/>
          <w:u w:val="single"/>
        </w:rPr>
      </w:pPr>
      <w:bookmarkStart w:id="8" w:name="ABSTRACT_END"/>
      <w:bookmarkEnd w:id="8"/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ההרשעה</w:t>
      </w:r>
    </w:p>
    <w:p>
      <w:pPr>
        <w:pStyle w:val="Normal"/>
        <w:spacing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11.10.17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12.11.17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15.11.17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26.11.17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חשמליים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GPS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כרטיסי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SIM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ומלחציים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להסתובב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מרצדס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11.9.17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GPS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וכרטיסי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SIM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במישרין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בעקיפין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11.9.17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16:30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וקנין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11:34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סלולרית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055-9556205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054-92337666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המפריד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הנתיבים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מנגנון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הפיצוץ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ומנגנון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רוטשה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השמאלית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רסיסים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למשתיקי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עמעם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משתיקי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CZ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משתיקי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ההליכים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בתיק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לעיוננו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במלואם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המקדמיים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התבקשנו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התבקשנו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קורבן העבירה אליעד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2/6/19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שלאחריו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sz w:val="2"/>
          <w:szCs w:val="2"/>
          <w:u w:val="single"/>
        </w:rPr>
      </w:pPr>
      <w:r>
        <w:rPr>
          <w:rFonts w:cs="Calibri" w:ascii="Calibri" w:hAnsi="Calibri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תדפיסי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אגרופן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2008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הסגת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שנעברו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המצטברות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נמירובסקי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בהכללת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הקורבנות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נציגיה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וכלשונו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המבטאת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האחרון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הנאשמים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sz w:val="4"/>
          <w:szCs w:val="4"/>
          <w:u w:val="single"/>
        </w:rPr>
      </w:pPr>
      <w:r>
        <w:rPr>
          <w:rFonts w:cs="Calibri" w:ascii="Calibri" w:hAnsi="Calibri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למקרא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במנותק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המשמשות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1958/98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25.12.02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ההנאה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הצומחת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האיזון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בעריכתם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2021/17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מצגר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30.4.17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בלשוננו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ההסתמכות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וממתינים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ההסכמית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שהותוותה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נשאלת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נעשית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>?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סוגייה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לסקירת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6943/16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גלקין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28.1.18</w:t>
      </w:r>
      <w:r>
        <w:rPr>
          <w:rFonts w:cs="Calibri" w:ascii="Calibri" w:hAnsi="Calibri"/>
          <w:rtl w:val="true"/>
        </w:rPr>
        <w:t xml:space="preserve">;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4301/15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פינטו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5.1.16</w:t>
      </w:r>
      <w:r>
        <w:rPr>
          <w:rFonts w:cs="Calibri" w:ascii="Calibri" w:hAnsi="Calibri"/>
          <w:rtl w:val="true"/>
        </w:rPr>
        <w:t xml:space="preserve">;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8109/15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אביטן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זניחה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2398/14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אלהזייל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8.7.14</w:t>
      </w:r>
      <w:r>
        <w:rPr>
          <w:rFonts w:cs="Calibri" w:ascii="Calibri" w:hAnsi="Calibri"/>
          <w:rtl w:val="true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25.10.10</w:t>
      </w:r>
      <w:r>
        <w:rPr>
          <w:rFonts w:cs="Calibri" w:ascii="Calibri" w:hAnsi="Calibri"/>
          <w:rtl w:val="true"/>
        </w:rPr>
        <w:t xml:space="preserve">;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3288/14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קריספיל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</w:rPr>
        <w:t>24.8.14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9158/16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אברג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12406-11-15</w:t>
        </w:r>
      </w:hyperlink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49893-07-15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3.4.17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4-6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18-28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נמצא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וכלשונו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ומטילים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12.11.17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;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12.11.17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cs="Calibri" w:ascii="Calibri" w:hAnsi="Calibri"/>
            <w:color w:val="0000FF"/>
            <w:u w:val="single"/>
          </w:rPr>
          <w:t>498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קורבן העבירה אליעד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הפיצויים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.6.19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ובכל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 שלאחריו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הפיצויים יופקדו בקופת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ונאסר על הנאשם או מי מטעמו לפנות אל אליעד וקנין או מי מטעמו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במישרין ואם בעקיפין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ויתור על הפיצויים אינו פוטר את 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מתשלומם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המצוין לעיל</w:t>
      </w:r>
      <w:r>
        <w:rPr>
          <w:rFonts w:cs="Calibri" w:ascii="Calibri" w:hAnsi="Calibri"/>
          <w:rtl w:val="true"/>
        </w:rPr>
        <w:t>..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tbl>
      <w:tblPr>
        <w:tblpPr w:vertAnchor="text" w:horzAnchor="margin" w:tblpXSpec="center" w:leftFromText="180" w:rightFromText="180" w:tblpY="392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3420"/>
      </w:tblGrid>
      <w:tr>
        <w:trPr/>
        <w:tc>
          <w:tcPr>
            <w:tcW w:w="3420" w:type="dxa"/>
            <w:tcBorders/>
          </w:tcPr>
          <w:p>
            <w:pPr>
              <w:pStyle w:val="Normal"/>
              <w:ind w:end="0"/>
              <w:jc w:val="end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3420" w:type="dxa"/>
            <w:tcBorders/>
          </w:tcPr>
          <w:p>
            <w:pPr>
              <w:pStyle w:val="Normal"/>
              <w:ind w:end="0"/>
              <w:jc w:val="end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    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דיאנה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Fonts w:cs="FrankRuehl"/>
                <w:rtl w:val="true"/>
              </w:rPr>
              <w:t>סלע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שופטת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לוי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  <w:tc>
          <w:tcPr>
            <w:tcW w:w="34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>קוטון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rFonts w:cs="FrankRuehl"/>
                <w:rtl w:val="true"/>
              </w:rPr>
              <w:t>שופט</w:t>
            </w:r>
          </w:p>
        </w:tc>
      </w:tr>
      <w:tr>
        <w:trPr/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</w:r>
          </w:p>
        </w:tc>
        <w:tc>
          <w:tcPr>
            <w:tcW w:w="34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/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                                                      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31367-12-17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יונתן אלמליח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498" TargetMode="External"/><Relationship Id="rId9" Type="http://schemas.openxmlformats.org/officeDocument/2006/relationships/hyperlink" Target="http://www.nevo.co.il/law/70301/498.a" TargetMode="External"/><Relationship Id="rId10" Type="http://schemas.openxmlformats.org/officeDocument/2006/relationships/hyperlink" Target="http://www.nevo.co.il/law/70301/498.a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case/161892" TargetMode="External"/><Relationship Id="rId17" Type="http://schemas.openxmlformats.org/officeDocument/2006/relationships/hyperlink" Target="http://www.nevo.co.il/case/2229406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479019" TargetMode="External"/><Relationship Id="rId20" Type="http://schemas.openxmlformats.org/officeDocument/2006/relationships/hyperlink" Target="http://www.nevo.co.il/case/20371840" TargetMode="External"/><Relationship Id="rId21" Type="http://schemas.openxmlformats.org/officeDocument/2006/relationships/hyperlink" Target="http://www.nevo.co.il/case/20683368" TargetMode="External"/><Relationship Id="rId22" Type="http://schemas.openxmlformats.org/officeDocument/2006/relationships/hyperlink" Target="http://www.nevo.co.il/case/13093744" TargetMode="External"/><Relationship Id="rId23" Type="http://schemas.openxmlformats.org/officeDocument/2006/relationships/hyperlink" Target="http://www.nevo.co.il/case/5950172" TargetMode="External"/><Relationship Id="rId24" Type="http://schemas.openxmlformats.org/officeDocument/2006/relationships/hyperlink" Target="http://www.nevo.co.il/case/16913730" TargetMode="External"/><Relationship Id="rId25" Type="http://schemas.openxmlformats.org/officeDocument/2006/relationships/hyperlink" Target="http://www.nevo.co.il/case/21731268" TargetMode="External"/><Relationship Id="rId26" Type="http://schemas.openxmlformats.org/officeDocument/2006/relationships/hyperlink" Target="http://www.nevo.co.il/case/20704756" TargetMode="External"/><Relationship Id="rId27" Type="http://schemas.openxmlformats.org/officeDocument/2006/relationships/hyperlink" Target="http://www.nevo.co.il/case/20462243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98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" TargetMode="External"/><Relationship Id="rId33" Type="http://schemas.openxmlformats.org/officeDocument/2006/relationships/hyperlink" Target="http://www.nevo.co.il/law/70301/498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2019-06-10T11:50:00Z</dcterms:created>
  <dc:creator> </dc:creator>
  <dc:description/>
  <cp:keywords/>
  <dc:language>en-IL</dc:language>
  <cp:lastModifiedBy>yafit</cp:lastModifiedBy>
  <dcterms:modified xsi:type="dcterms:W3CDTF">2019-06-10T11:50:00Z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יונתן אלמליח;ויקטור מישייב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161892;22294063;21479019;20371840;20683368;13093744;5950172;16913730;21731268;20704756;20462243</vt:lpwstr>
  </property>
  <property fmtid="{D5CDD505-2E9C-101B-9397-08002B2CF9AE}" pid="9" name="CITY">
    <vt:lpwstr>חי'</vt:lpwstr>
  </property>
  <property fmtid="{D5CDD505-2E9C-101B-9397-08002B2CF9AE}" pid="10" name="DATE">
    <vt:lpwstr>20190102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סלע;אבי לוי ;ערן קוטון</vt:lpwstr>
  </property>
  <property fmtid="{D5CDD505-2E9C-101B-9397-08002B2CF9AE}" pid="14" name="LAWLISTTMP1">
    <vt:lpwstr>70301/498.a;029;144.a;144.b2;025;144:2;498:2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31367</vt:lpwstr>
  </property>
  <property fmtid="{D5CDD505-2E9C-101B-9397-08002B2CF9AE}" pid="22" name="NEWPARTB">
    <vt:lpwstr>12</vt:lpwstr>
  </property>
  <property fmtid="{D5CDD505-2E9C-101B-9397-08002B2CF9AE}" pid="23" name="NEWPARTC">
    <vt:lpwstr>17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390020190102</vt:lpwstr>
  </property>
  <property fmtid="{D5CDD505-2E9C-101B-9397-08002B2CF9AE}" pid="34" name="TYPE_N_DATE">
    <vt:lpwstr>39020190102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