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wmf" ContentType="image/x-w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33100-10-18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פרי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גרבאן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השופטת תמר נאות פרי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24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eastAsia="David"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כתב האישום המתוקן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>לאחר תחילת שמיעת הראיות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הודיעו הצדדים כי הגיעו להסדר טיעון לפיו הנאשם יבקש לחזור בו מכפירתו בכתב האישום שהוגש נגדו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יודה בכתב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יורשע ויישמעו טיעונים לעונש מטעם הצדדים ללא הסכמה עונשית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נגד הנאשם הוגש כתב אישום מתוקן כדלקמן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אודת דלמחי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חברים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סכסוך עם אברהים עמאש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בורהום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ויונס עמאש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יונס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גם 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סכסוך עם השניים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שונה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בבניין שבו בורהום מתגורר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הבית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קיימת קומת כניסה ובה מתחם עמודים הנמצא בשלבי בנייה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המתחם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בו נוהגים לבלות בורהום ויונס עם חבריהם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היציאה מהמתחם מובילה אל חניון הבית ואל הרחוב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שער ברזל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עובר ליום </w:t>
      </w:r>
      <w:r>
        <w:rPr>
          <w:rFonts w:cs="David" w:ascii="David" w:hAnsi="David"/>
          <w:sz w:val="24"/>
          <w:szCs w:val="24"/>
        </w:rPr>
        <w:t>30.8.2018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למאשימה במדויק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רקע סכסוכיהם עם בורהום ויונס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קשרו 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קשר לפיו הם יבצעו ירי לעבר בורהום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יונס וחבריהם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 ביחד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החבורה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וזאת בכוונה לגרום להם לחבלות 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נכות או מום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התכנון נקבע כי 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ימתינו למועד בו תמצא החבורה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יתצפת וידריך את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אשר יבצע את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לתוכנית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אודת יבצע תחילה ירי  לעבר עטיה עמאש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עטיה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שעל פי סברתם של 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משמש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מתצפת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ושומר על החבורה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מכן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יבצע ירי על החבורה בתוך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30.8.2018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בשעות הערב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התקיימה בכפר חתונה בה נכחה החבורה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לקשר ולשם קידומו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עקבו 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אחר החבורה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ובסמוך לשעה </w:t>
      </w:r>
      <w:r>
        <w:rPr>
          <w:rFonts w:cs="David" w:ascii="David" w:hAnsi="David"/>
          <w:sz w:val="24"/>
          <w:szCs w:val="24"/>
        </w:rPr>
        <w:t>22:30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הבחינו בהם יוצאים מאולם החתונות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השניים החליטו להוציא את תכניתם לפועל אותו הערב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ולצורך כך הצטיידו 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אודת באקדח אשר בכוחו להמית אדם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וכן בכיסוי פנים עבור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החתונה שבו בורהום ויונס לביתם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וסמוך לשעה </w:t>
      </w:r>
      <w:r>
        <w:rPr>
          <w:rFonts w:cs="David" w:ascii="David" w:hAnsi="David"/>
          <w:sz w:val="24"/>
          <w:szCs w:val="24"/>
        </w:rPr>
        <w:t>23:00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הגיעו למתחם והתיישבו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למתחם הגיעו גם חבריהם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עטיה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ומעה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מיל עמאש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אברהים אוסמה עמאש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חנה גרבאן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מואמן גרבאן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מואמן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ומוחמד מרעי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00:50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 למקום גם רדאד רדאד ז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המנוח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וניגש לברך את הנוכחים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כל אותה העת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ובהתאם לתוכניתם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המתינו 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בסמיכות למתחם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הנאשם מתצפת על הנכנסים והיוצאים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אודת מתמקם סמוך למעבר ליד למתחם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המעבר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שיקל עליו את ביצוע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31.8.2018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00:54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הבחין הנאשם בעטיה יוצא לרגע משער הברזל על מנת לקבל אוכל שהוזמן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ואז שב לתוך 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התקשר מיד 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והודיע לו כי עטיה יצא ומיד נכנס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זאת בהתאם לתכנון המוקדם ובכוונה שג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יחל בביצוע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אישר לנאשם כי הבחין בעטיה וניתק את השיחה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אז עטה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את כיסוי הפנים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שלף את האקדח ויצא ממקום מחבואו שבמעבר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ניגש לחלון שבקיר המתחם והחל לירות דרכו לעבר כל הנוכחים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זאת בכוונה לפגוע בהם ולגרום להם לחבלות 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נכות או מום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כשסיים לבצע את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להימלט לכיוון שער היציאה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ואז הבחין במנוח נע לכיוונו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הסתובב אל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ירה לעברו מספר יריות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ופגע בחזהו מצד שמאל ובירכו השמאלית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כתוצאה מהירי לעבר היושבים במתחם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נפגע יונס מקליעים באזור האגן והירך ונגרמו לו פצעי ירי ושבר ריסוק בעצם הזנב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כן נפגע מוחמד מקליעים באגן האחורי ונגרמו לו פצעי כניסה וכן שבר ריסוק במפרק הירך ובעצם הירך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נפגע מואמן מקליע באגן משמאל אשר יצא מירך ימין מאחור וגרם לו לשבר ריסוק בעצם הזנב ופגיעה חבלתית ברקטום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שלושת הפצועים הובאו לבית החולים שם נותחו ואושפזו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כתוצאה מהירי לעבר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נפגע המנוח מקליע בחזה משמאל אשר עבר דרך הקיבה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הלבלב ועורק הכליה השמאלית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מקליע בצד הקדמי של הירך השמאלית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הובהל לבית החולים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נעשו ניסיונות החייאה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הוא נפטר כעבור זמן קצר כתוצאה מהלם תת נפחי דימומי בעקבות מעבר קליע דרך עורק הכליה השמאלית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בכתב האישום המתוקן נכתב כי במעשיו כמתואר לעיל קשר הנאשם קשר עם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לבצע ירי ולגרום לחבלה חמורה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נשא נשק בצוותא חדא עם אחר ללא היתר בדין לנשיאתו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גרם בצוותא חדא עם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חבלות חמורות ליונס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מואמן ומוחמד וזאת בכוונה לגרום להם לחבלה חמורה נכות או מום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ניסה בצוותא חדא עם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לפגוע שלא כדין ביתר הנוכחים בקליע וזאת בכוונה לגרום להם לחבלה חמורה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נכות או מום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גרם הנאשם במעשה אסור למותו של המנוח בצוותא חדא עם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הוראות החיקוק שלפיהן מואשם הנאשם הן הבאות</w:t>
      </w:r>
      <w:r>
        <w:rPr>
          <w:rFonts w:cs="David" w:ascii="David" w:hAnsi="David"/>
          <w:sz w:val="24"/>
          <w:szCs w:val="24"/>
          <w:rtl w:val="true"/>
        </w:rPr>
        <w:t>: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הריגה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עבירה לפי </w:t>
      </w:r>
      <w:hyperlink r:id="rId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298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+ </w:t>
      </w:r>
      <w:hyperlink r:id="rId10"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rFonts w:cs="David" w:ascii="David" w:hAnsi="David"/>
          <w:sz w:val="24"/>
          <w:szCs w:val="24"/>
          <w:rtl w:val="true"/>
        </w:rPr>
        <w:t xml:space="preserve">");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חבלה בכוונה מחמירה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עבירה לפי סעיף </w:t>
      </w:r>
      <w:hyperlink r:id="rId12">
        <w:r>
          <w:rPr>
            <w:rStyle w:val="Hyperlink"/>
            <w:rFonts w:cs="David" w:ascii="David" w:hAnsi="David"/>
            <w:sz w:val="24"/>
            <w:szCs w:val="24"/>
          </w:rPr>
          <w:t>329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+ (</w:t>
      </w:r>
      <w:hyperlink r:id="rId13">
        <w:r>
          <w:rPr>
            <w:rStyle w:val="Hyperlink"/>
            <w:rFonts w:cs="David" w:ascii="David" w:hAnsi="David"/>
            <w:sz w:val="24"/>
            <w:szCs w:val="24"/>
          </w:rPr>
          <w:t>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 + </w:t>
      </w:r>
      <w:hyperlink r:id="rId14"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לחוק העונשין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ונשיאת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עבירה לפי </w:t>
      </w:r>
      <w:hyperlink r:id="rId1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+ </w:t>
      </w:r>
      <w:hyperlink r:id="rId16"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הצדדים לא הושגה הסכמה עונשית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ונשמעו טיעוני הצדדים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הראיות לעונש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הגישה תדפיס רישום פלילי לגבי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double"/>
          <w:rtl w:val="true"/>
        </w:rPr>
        <w:t>ט</w:t>
      </w:r>
      <w:r>
        <w:rPr>
          <w:rFonts w:cs="David" w:ascii="David" w:hAnsi="David"/>
          <w:sz w:val="24"/>
          <w:szCs w:val="24"/>
          <w:u w:val="double"/>
          <w:rtl w:val="true"/>
        </w:rPr>
        <w:t>/</w:t>
      </w:r>
      <w:r>
        <w:rPr>
          <w:rFonts w:cs="David" w:ascii="David" w:hAnsi="David"/>
          <w:sz w:val="24"/>
          <w:szCs w:val="24"/>
          <w:u w:val="double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ממנו עולה כי הורשע בעבר בחמישה תיקים פלילים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  <w:u w:val="single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בבית משפט שלום בכפר סבא בעבירה של החזקת אגרופן או סכין ונדון למאסר בפועל לתקופה של חודש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  <w:u w:val="single"/>
        </w:rPr>
        <w:t>2008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בבית משפט מחוזי חיפה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היזק לרכוש במזיד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אחזקת נשק שלא כדין וירי מנשק חם והוטל עליו מאסר בפועל לתקופה של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הוטל מאסר על תנאי בן שנתיים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");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  <w:u w:val="single"/>
        </w:rPr>
        <w:t>2007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בבית משפט מחוזי חיפה בעבירות של מעשה סדום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מעשה מגונה וכליאת שווא והוטל עליו מאסר בפועל לתקופה של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בשנת </w:t>
      </w:r>
      <w:r>
        <w:rPr>
          <w:rFonts w:cs="David" w:ascii="David" w:hAnsi="David"/>
          <w:sz w:val="24"/>
          <w:szCs w:val="24"/>
          <w:u w:val="single"/>
        </w:rPr>
        <w:t>2007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בבית משפט לנוער חדרה בעבירה של החזקת אגרופן או סכין שלא כדין והוטל עליו מאסר על תנאי לתקופה 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ובשנת </w:t>
      </w:r>
      <w:r>
        <w:rPr>
          <w:rFonts w:cs="David" w:ascii="David" w:hAnsi="David"/>
          <w:sz w:val="24"/>
          <w:szCs w:val="24"/>
          <w:u w:val="single"/>
        </w:rPr>
        <w:t>2005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בבית משפט לנוער חדרה בעבירה של פריצה לבניין והוטל עליו צו התחייבות להימנע מעבירה בסך </w:t>
      </w:r>
      <w:r>
        <w:rPr>
          <w:rFonts w:cs="David" w:ascii="David" w:hAnsi="David"/>
          <w:sz w:val="24"/>
          <w:szCs w:val="24"/>
        </w:rPr>
        <w:t>1,500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spacing w:lineRule="auto" w:line="24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הגישה המאשימה את גזר הדין של שותפו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8.7.2020</w:t>
      </w:r>
      <w:r>
        <w:rPr>
          <w:rFonts w:cs="David" w:ascii="David" w:hAnsi="David"/>
          <w:sz w:val="24"/>
          <w:szCs w:val="24"/>
          <w:rtl w:val="true"/>
        </w:rPr>
        <w:t xml:space="preserve">  (</w:t>
      </w:r>
      <w:r>
        <w:rPr>
          <w:rFonts w:ascii="David" w:hAnsi="David" w:cs="David"/>
          <w:sz w:val="24"/>
          <w:sz w:val="24"/>
          <w:szCs w:val="24"/>
          <w:u w:val="double"/>
          <w:rtl w:val="true"/>
        </w:rPr>
        <w:t>ט</w:t>
      </w:r>
      <w:r>
        <w:rPr>
          <w:rFonts w:cs="David" w:ascii="David" w:hAnsi="David"/>
          <w:sz w:val="24"/>
          <w:szCs w:val="24"/>
          <w:u w:val="double"/>
          <w:rtl w:val="true"/>
        </w:rPr>
        <w:t>/</w:t>
      </w:r>
      <w:r>
        <w:rPr>
          <w:rFonts w:cs="David" w:ascii="David" w:hAnsi="David"/>
          <w:sz w:val="24"/>
          <w:szCs w:val="24"/>
          <w:u w:val="double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בעניינו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אודת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התיק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המקביל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הושג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כתולדה של קשיים ראייתיים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הכולל תיקון של כתב האישום בדומה לתיקון של כתב האישום כאן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הגיעו הצדדים להסכמה עונשית לפיה טווח הענישה ינוע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אודת הושת מאסר של </w:t>
      </w:r>
      <w:r>
        <w:rPr>
          <w:rFonts w:cs="David" w:ascii="David" w:hAnsi="David"/>
          <w:sz w:val="24"/>
          <w:szCs w:val="24"/>
        </w:rPr>
        <w:t>17.5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ופיצוי כספי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מטעם ההגנה לא הוגשו ראיות לעניין העונש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תסקירי נפגעי העבירה –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Guttman Ya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מוחמד מרעי –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11.1.2021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תסקיר בעניינו של הפצוע מוחמד מרעי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מהתסקיר עולה כי מוחמד בן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מתגורר בבית הוריו ועודנו מתמודד עם השלכות פיזיות קשות של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הגבלות תפקודיות והשלכות נוספות אשר לא נפרט לגביהן מחמת צנעת הפרט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עורכת התסקיר המליצה כי יוטל 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עונשו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פיצוי כספי משמעותי למוחמד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אמו ואחותו של המנוח –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10.1.2021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הוגש תסקיר לגבי אמו ואחותו של המנוח רדאד רדאד ז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מהתסקיר עולה כי המפגשים המשותפים שהתקיימו עם האם והאחות היו מלווים בבכי וניכר היה הקושי שלהן להתמודד עם אבדן הבן והאח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האם והאחות סיפרו כי למנוח היה תפקיד מרכזי ומשמעותי במשפחה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ועם אובדנו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אבדו גם תחושת הביטחון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השמחה והתקווה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מתיאורן עלתה תמונה של 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 כל אחד מחבריה מתמודד לבד עם כאב בלתי ניתן להכלה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מתקשה להחזיר סדר לעולמו ולהגן על המערך המשפחתי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האם והאחות שיתפו כי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עבד באופן רציף וקבוע כפועל במפעל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סיים לבנות את ביתו מעל בית אמו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התגורר עד יום 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המנוח תואר עוד כבן מסור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מתפקד ואחראי שתמיד היה מוכן לעזור ולהתגייס לטובת האחר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המנוח סייע בכלכלת המשפחה והיווה עוגן ומשענת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לאחר שאביו עזב את הבית לפני שנים בנסיבות פתאומיות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בפגישה ניכר כי האם והאחות מתקשות לקבל את האובדן ואת החיים בהעדר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נסיבות מותו הפתאומיות והאלימות אינן מאפשרות להן להתפנות לתהליך של אבל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האם תוארה כמי שמאז מותו של המנוח שרויה בכאב ובכעס רב ותיארה כי במותו המנוח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השאיר אותה לבד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האם עוד שיתפה כי מצבה הנפשי והרגשי אינו מאוזן ומאופיין בתסמינים של דיכאון לצד חוסר שקט וחוסר סבלנות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אינו מאפשר לה את הזמינות לילדיה ונכדיה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האחות תיארה את האווירה הקשה בבית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חוסר הסבלנות של האם ואובדן תחושת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החיות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התקווה והשייכות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אחות המנוח שיתפה כי מאז מות אחיה חייה השתנו ללא היכר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איבדה את תחושת השמחה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מצב רוחה ירוד רוב הזמן והיא סובלת מקשיי שינה וממעטת לאכול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מרבה לבכות ובתחושתה פחות פנויה לילדיה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ומתקשה לתפקד בעבודתה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המליצה עורכת התסקיר להטיל על הנאשם פיצוי כספי משמעותי למשפחת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טיעוני המאשימה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הגישה עיקרי טיעון כתובים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double"/>
          <w:rtl w:val="true"/>
        </w:rPr>
        <w:t>ט</w:t>
      </w:r>
      <w:r>
        <w:rPr>
          <w:rFonts w:cs="David" w:ascii="David" w:hAnsi="David"/>
          <w:sz w:val="24"/>
          <w:szCs w:val="24"/>
          <w:u w:val="double"/>
          <w:rtl w:val="true"/>
        </w:rPr>
        <w:t>/</w:t>
      </w:r>
      <w:r>
        <w:rPr>
          <w:rFonts w:cs="David" w:ascii="David" w:hAnsi="David"/>
          <w:sz w:val="24"/>
          <w:szCs w:val="24"/>
          <w:u w:val="double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והוסיפה טיעון בעל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 הנאשם עצור מיום </w:t>
      </w:r>
      <w:r>
        <w:rPr>
          <w:rFonts w:cs="David" w:ascii="David" w:hAnsi="David"/>
          <w:sz w:val="24"/>
          <w:szCs w:val="24"/>
        </w:rPr>
        <w:t>4.9.2018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רישום פלילי מכביד ולחובתו קיים עונש מאסר על תנאי בר הפעלה בן שנתיים אשר נגזר עליו בגין אירוע שאינו שונה בהרבה מזה המיוחס לו בתיק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מדובר באירוע חמור וקשה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אף אם 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לא תכננו להמית איש במהלך האירוע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ואף אם מטרתם הייתה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לפגוע ולגרום לחבלות חמורות – אזי שעסקינן בעבירות חמורות וקשות בפני עצמן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וכפי שניתן לצפות במקרים מסוג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דברים לא התרחשו כמתוכנן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ומעבר לפגיעות שהנאשמים רצו לגרום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ואכן גרמו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הם גרמו גם למותו של עובר אורח שלא קשור למקרה בכלל ושכל פשעו היה היותו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במקום הלא נכון בזמן הלא נכון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התייחסה למספר הרב של הקורבנות בתיק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מוחמד מרעי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שלגביו הוכן תסקיר הקורבן המפורט מעלה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המדובר בבחור צעיר ונורמטיבי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נקלע למקום וברגע אחד התהפכו חייו והוא נותר נכה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סובל מכאבים עזים ולא יכול לעבוד ולהתפרנס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למרעי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לזכור כי היו פצועים נוספים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סבלו מפגיעות משמעותיות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כמובן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לתת משקל מכריע למותו של המנוח ולנזקים הקשים שנגרמו עקב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וצוין כי אמו ואחותו של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 היחידות שהסכימו לדבר עם שירות המבחן ולספר על כאבן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מדובר בכאב של משפחה שלמה שנפגעה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ביקשה להדגיש את חומרת הדברים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מבוצע ירי חם בשכונת מגורים לעבר חבורה של צעירים היושבת במתחם ולאחר מכן אל עבר עובר אורח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המדובר במציאות שאין להשלים עמה ולהילחם 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בהטלת ענישה מרתיעה ומוחשית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לגבי מתחם הענישה הנוהג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טענה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כי באופן עקרוני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עמדתה היא כי מתחם הענישה אמור להיות ברף הגבוה נוכח חומרת הדברים וריבוי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ועם זאת – אי אפשר שלא לתת משקל של ממש להסדר שנערך עם שותפו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כלל הסכמה של טווח ענישה שנע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טענה כי ההסדר בעניין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היה מקל ונבע מקשיים ראייתיים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שפורט בהרחבה במסגרת הטיעונים 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כלומר – שהטווח אינו משקף את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ואילולא הקשיים הראייתיים 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הייתה המאשימה טוענת למתחם גבוה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ניתן להתעלם מההסדר מול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לעת גזירת דינו של הנאשם כאן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לגבי הטווח שעליו הוסכם לגבי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מחד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 זה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המצב הראייתי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טוב יותר מאשר המצב הראייתי בתיק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מאידך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חלקו של הנאשם קטן יותר מחלקו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היות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היה מי שביצע בפועל את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ובאלו הנסיבות – טענה המאשימה כי מן הראוי שלא לטעון למתחם ענישה גבוה יותר מהמתחם אשר לגביו הוסכם בתיק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אודת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לגבי העונש בתוך המתחם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חלקו של הנאשם בתיק משמעותי ומהווה חלק בלתי נפרד מהמעגל הפנימי של הביצוע ולכך יש להוסיף את עברו הפלילי המכביד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ביקשה לגזור את דינו של הנאשם ברף העליון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ביקשה להפעיל את עונש המאסר על תנאי בן השנתיים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שקיים לחובתו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במצטבר לכל עונש שיוטל על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התבקש פיצוי כספי לנפגעי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טרם סיום התייחסה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לטענת ההגנה כי קדם לאירוע נשוא כתב האישום אירוע נוסף ובו ירו הנפגעים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חברי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החבורה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אל עבר אחרים – וטענה כי אכן היה אירוע שכזה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לא הוסתר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מתועד במצלמות שנתפסו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ומידע לגביו הועבר להגנה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ונטען כי אין באירוע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המקדים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כדי להשליך על ענישת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טיעוני ההגנה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בתיק זה קיים קושי ראייתי משמעותי שהביא להסדר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ובמיוחד לאחר שנשמעה עדות אשר הטילה בספק את הימצאותו של הנאשם באירוע הירי המתואר בכתב האישום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הודגש כי הנאשם ביקש לשמוע את הראיות בתיק זה ולא בכדי – שהרי רק לאחר שמיעת העדים הרלבנטיים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 שינוי בעמדת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בתיק זה והן בתיק המקביל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והמאשימה הסכימה להגשת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טענה כי כתב האישום מתחלק לשני חלקים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החלק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כלל את קשירת הקשר והירי על יונס וברהום ושאר החבורה שישבו במתחם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והחלק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שכלל את הירי על המנוח רדאד והמתתו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בשעה שג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מתרחק מהמתחם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קיים ספק אם לנאשם היה קשר למאורעות שהתרחשו בחלק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כי הנאשם אכן הודה במסגרת הסדר הטיעון בעובדות כתב האישום המתוקן הכוללות את שני החלקים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בהקשר זה כי הנאשם וג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קשרו קשר לבצע מעשה מסוים נגד אנשים מסוימים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ובניגוד למה שסיכמו ביניהם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ירה לעבר המנוח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כאשר אקט זה חרג מגדרי הקשר ולא היה מוסכם בין הצדדים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לשיטת ההגנה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עולה השאלה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האם הנאשם יכול היה לצפות את מעשהו זה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אודת והאם הנאשם היה יורה בעצמו לעבר המנוח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וזאת כאשר המנוח היה קרוב משפחה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לא היה יורה לכיוונו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לאור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הענישה כלפי הנאשם צריכה להתמקד בחלק הראשון של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ולגבי החלק השני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ההשלכות העונשיות מבחינת הנאשם צריכות להיות מינוריות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ובכלל זה נושא הפיצוי למשפחת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צריך להיות סמלי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כי לתת משקל לקולא לכתב האישום שהוגש כנגד חלק מחברי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החבורה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עטיה עמאש ויונס עמאש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אשר היו המתלוננים בתיק הנוכחי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מכתב אישום זה עולה כי הם עצמם ביצעו ירי כשעה לפני הירי שביצע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לעבר גג ביתו של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לגבי מתחם הענישה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יש לקבוע מתחם ענישה אחד ביחס למכלול מעשיו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אגב הפניה לפסיקה לגבי עבירות של חבלה חמורה שם טווח הענישה היה </w:t>
      </w:r>
      <w:r>
        <w:rPr>
          <w:rFonts w:cs="David" w:ascii="David" w:hAnsi="David"/>
          <w:sz w:val="24"/>
          <w:szCs w:val="24"/>
        </w:rPr>
        <w:t>5-8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באשר לעונש בתוך המתחם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התייחס לרפורמה בעבירות ההמתה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תיקון </w:t>
      </w:r>
      <w:r>
        <w:rPr>
          <w:rFonts w:cs="David" w:ascii="David" w:hAnsi="David"/>
          <w:sz w:val="24"/>
          <w:szCs w:val="24"/>
        </w:rPr>
        <w:t>137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להתייחס לכך שבעבר היו נבחנים מעשיו של הנאשם על פי מבחן האדם הסביר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המבחן האובייקטיבי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וכיום יש לשקול גם אלמנטים סובייקטיביים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נסיבות חייו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במקרה הנוכחי משמעותיות 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הנאשם גדל לתוך מציאות אלימה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33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וחצי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הינו בן למשפחה בת עשר נפשות אשר התייתם מאביו כאשר היה בן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אמו של הנאשם הינה אישה קשת יום וכמעט לא מתפקדת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למד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בבית ספר יסודי ובעת ילדותו היה נוסע בהסעה יחד אנשים מבוגרים לתל אביב על מנת לשטוף כלים במסעדות ולסייע בפרנסת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ישב בבית הסוהר מגיל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במשך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במצטבר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במאסרים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ועתה הוא מעוניין לשקם את עצמו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יש להשית עונש אשר יעניק לנאשם תקווה ויאפשר לו לעבור תהליך של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הפעלת המאסר על תנאי שקיים לחובת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כי משך המאסר המותנה היה חריג וגבוה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שנתיים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וכי על פי הפסיקה של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להימנע מהשתת מאסרים מותנים גבוהים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כובלים את ידי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אשר גוזר את דינו של הנאשם בתיק השני בזמן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התבקש להפעיל את עונש המאסר על תנאי בחופף לעונש שייגזר על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דברי הנאשם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-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פנה לבית המשפט ואמר כי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מתנצל על מה שקרה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מצטער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מכן אף ביקש למסור באמצעות בא כוחו כי הוא מצטער על מה שקרה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הייתה לו כוונה להרוג מישהו וכי הוא מבקש שבית המשפט ירחם עליו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דיון והכרעה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נזכיר כי הנאשם הורשע בכך שחבר לאחר בכוונה לגרום לנפגעים חבלות 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נכות או מום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יחד עם שותפו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הצטיידו באקדח ובכיסוי פנים ועקבו אחר חבורת האנשים בהם תכננו לפגוע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כשהגיעה החבורה למתחם והתיישבה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תצפת עליהם הנאשם והמתין לרגע בו עטיה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 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שומר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על החבורה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יעזוב את המקום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כשעטיה עזב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התקשר הנאשם לשותפו והודיע לו על עזיבתו של עטיה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שהשותף יוכל לבצע את הירי המתוכנן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שותפו של הנאשם עטה כיסוי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שלף את האקדח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יצא ממקום מחבואו והחל לירות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חלון שבקיר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לעבר החבורה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כשסיים לבצע את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להימלט וכשהבחין במנוח נע לכיוונו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ירה לעברו מספר יריות אשר הביאו למותו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גרם שותפו של הנאשם לפציעות חמורות בגופם של שלושה אנשים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אירוע בודד או מספר אירועים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לעמדת ההגנה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אין מקום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לחלק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את ההתרחשות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חלק ראשון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חלק שני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ויש לראות במכלול אירוע אחד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החל ממועד קשירת הקשר ועד סיום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כלומר – שעסקינן באירוע אחד במהלכו בוצע רצף מעשים המגבשים מספר עבירות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הערכים הנפגעים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אין צורך להכביר מילים על חומרתה של עבירת ההריגה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מהעבירות הקשות והחמורות בספר החוקים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שמטרתה להגן על ערך החיים וקדושתם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המחוקק ביטא חומרה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 בחר להעמיד את העונש המרבי בצידה על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הפגיעה בערך חשוב זה יש להגיב בענישה משמעותית ומרתיעה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שיהא בה כדי לתת ביטוי לתפיסת החברה את מעמדו העליון של ערך קדושת החיים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גם בנוגע לעבירת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והדברים ברורים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יפים בהקשר זה הדברים ב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9422/11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דהן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3.7.2013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לאמור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Style14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 xml:space="preserve">כי כבר נאמר כל שניתן </w:t>
      </w:r>
      <w:r>
        <w:rPr>
          <w:b/>
          <w:b/>
          <w:bCs/>
          <w:rtl w:val="true"/>
        </w:rPr>
        <w:t>על הקלות הבלתי נתפסת בה נגדעים בארצנו חיי אדם</w:t>
      </w:r>
      <w:r>
        <w:rPr>
          <w:rtl w:val="true"/>
        </w:rPr>
        <w:t xml:space="preserve">, </w:t>
      </w:r>
      <w:r>
        <w:rPr>
          <w:rtl w:val="true"/>
        </w:rPr>
        <w:t>ולא נותר אלא לחזור על הדברים</w:t>
      </w:r>
      <w:r>
        <w:rPr>
          <w:rtl w:val="true"/>
        </w:rPr>
        <w:t xml:space="preserve">. </w:t>
      </w:r>
      <w:r>
        <w:rPr>
          <w:rtl w:val="true"/>
        </w:rPr>
        <w:t>חילופי דברים וסכסוכים של מה בכך מובילים במקרים רבים מדי ובמהירות גדולה מדי לשליפת כלי נשק</w:t>
      </w:r>
      <w:r>
        <w:rPr>
          <w:rtl w:val="true"/>
        </w:rPr>
        <w:t xml:space="preserve">, </w:t>
      </w:r>
      <w:r>
        <w:rPr>
          <w:rtl w:val="true"/>
        </w:rPr>
        <w:t>קר או חם</w:t>
      </w:r>
      <w:r>
        <w:rPr>
          <w:rtl w:val="true"/>
        </w:rPr>
        <w:t xml:space="preserve">, </w:t>
      </w:r>
      <w:r>
        <w:rPr>
          <w:rtl w:val="true"/>
        </w:rPr>
        <w:t>או לנקיטה במעשי אלימות קטלנים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לעיתים נדמה שחל פיחות בלתי נסלח ובלתי נסבל בערכם של חיי אדם</w:t>
      </w:r>
      <w:r>
        <w:rPr>
          <w:rtl w:val="true"/>
        </w:rPr>
        <w:t xml:space="preserve">. </w:t>
      </w:r>
      <w:r>
        <w:rPr>
          <w:rtl w:val="true"/>
        </w:rPr>
        <w:t>בראש ובראשונה עלינו לשוות לנגד עיננו את המנוח שחייו קופדו בנסיבות שאין להשלים עימן</w:t>
      </w:r>
      <w:r>
        <w:rPr>
          <w:rtl w:val="true"/>
        </w:rPr>
        <w:t xml:space="preserve">, </w:t>
      </w:r>
      <w:r>
        <w:rPr>
          <w:rtl w:val="true"/>
        </w:rPr>
        <w:t>ולהגנה על ערך החיים וקדושתם שמור משקל משמעותי ביותר במלאכת הענישה</w:t>
      </w:r>
      <w:r>
        <w:rPr>
          <w:rtl w:val="true"/>
        </w:rPr>
        <w:t xml:space="preserve">". </w:t>
      </w:r>
    </w:p>
    <w:p>
      <w:pPr>
        <w:pStyle w:val="NoSpacing"/>
        <w:spacing w:lineRule="auto" w:line="360" w:before="0" w:after="120"/>
        <w:ind w:firstLine="636" w:start="84" w:end="-42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ובנוסף את שנכתב ב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1456/01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חדד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22.10.2001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Style14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רבו העבריינים</w:t>
      </w:r>
      <w:r>
        <w:rPr>
          <w:rtl w:val="true"/>
        </w:rPr>
        <w:t xml:space="preserve">, </w:t>
      </w:r>
      <w:r>
        <w:rPr>
          <w:rtl w:val="true"/>
        </w:rPr>
        <w:t xml:space="preserve">נגע האלימות פשה בבתינו וברחובותינו </w:t>
      </w:r>
      <w:r>
        <w:rPr>
          <w:rtl w:val="true"/>
        </w:rPr>
        <w:t xml:space="preserve">... </w:t>
      </w:r>
      <w:r>
        <w:rPr>
          <w:rtl w:val="true"/>
        </w:rPr>
        <w:t xml:space="preserve">העבירה של שפיכות דמים – שהיא משבע מצוות בני נח ומשלוש העבירות שעליהן </w:t>
      </w:r>
      <w:r>
        <w:rPr>
          <w:rtl w:val="true"/>
        </w:rPr>
        <w:t>"</w:t>
      </w:r>
      <w:r>
        <w:rPr>
          <w:rtl w:val="true"/>
        </w:rPr>
        <w:t>ייהרג ולא יעבור</w:t>
      </w:r>
      <w:r>
        <w:rPr>
          <w:rtl w:val="true"/>
        </w:rPr>
        <w:t xml:space="preserve">" – </w:t>
      </w:r>
      <w:r>
        <w:rPr>
          <w:rtl w:val="true"/>
        </w:rPr>
        <w:t xml:space="preserve">היתה כמעט לדבר יום ביומו </w:t>
      </w:r>
      <w:r>
        <w:rPr>
          <w:rtl w:val="true"/>
        </w:rPr>
        <w:t xml:space="preserve">... </w:t>
      </w:r>
      <w:r>
        <w:rPr>
          <w:rtl w:val="true"/>
        </w:rPr>
        <w:t>אין אנו פטורים עוד מלהתוות קוים לרמת הענישה הראויה שבגדרם יש לנקוט בגישה המחמירה</w:t>
      </w:r>
      <w:r>
        <w:rPr>
          <w:rtl w:val="true"/>
        </w:rPr>
        <w:t xml:space="preserve">, </w:t>
      </w:r>
      <w:r>
        <w:rPr>
          <w:rtl w:val="true"/>
        </w:rPr>
        <w:t>לאמור בגישה הרואה בעונש המרבי את נקודת המוצא</w:t>
      </w:r>
      <w:r>
        <w:rPr>
          <w:rtl w:val="true"/>
        </w:rPr>
        <w:t xml:space="preserve">; </w:t>
      </w:r>
      <w:r>
        <w:rPr>
          <w:rtl w:val="true"/>
        </w:rPr>
        <w:t>שממנו מפחיתים לפי נסיבות המקרה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העבריין</w:t>
      </w:r>
      <w:r>
        <w:rPr>
          <w:rtl w:val="true"/>
        </w:rPr>
        <w:t xml:space="preserve">, </w:t>
      </w:r>
      <w:r>
        <w:rPr>
          <w:rtl w:val="true"/>
        </w:rPr>
        <w:t>תדירותה או נדירותה של העבירה</w:t>
      </w:r>
      <w:r>
        <w:rPr>
          <w:rtl w:val="true"/>
        </w:rPr>
        <w:t xml:space="preserve">, </w:t>
      </w:r>
      <w:r>
        <w:rPr>
          <w:rtl w:val="true"/>
        </w:rPr>
        <w:t>הרתעת עבריינים בכוח ועצמת הסלידה ושאט הנפש של החברה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 w:before="0" w:after="120"/>
        <w:ind w:firstLine="636" w:start="84" w:end="-426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לשימוש בנשק חם ותוצאותיו הקשות לציבור בכללו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אף את 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5.11.2019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Style14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השימוש בנשק חם ככלי ליישוב סכסוכים הפך לרעה חולה</w:t>
      </w:r>
      <w:r>
        <w:rPr>
          <w:rtl w:val="true"/>
        </w:rPr>
        <w:t xml:space="preserve">, </w:t>
      </w:r>
      <w:r>
        <w:rPr>
          <w:rtl w:val="true"/>
        </w:rPr>
        <w:t xml:space="preserve">וכמעשה של יום ביומו גובה חיי אדם </w:t>
      </w:r>
      <w:r>
        <w:rPr>
          <w:u w:val="single"/>
          <w:rtl w:val="true"/>
        </w:rPr>
        <w:t>ולעיתים אף את חייהם של חפים מפשע אשר כל חטאם היה כי התהלכו באותה עת ברחובה של עיר</w:t>
      </w:r>
      <w:r>
        <w:rPr>
          <w:rtl w:val="true"/>
        </w:rPr>
        <w:t xml:space="preserve">. </w:t>
      </w:r>
      <w:r>
        <w:rPr>
          <w:rtl w:val="true"/>
        </w:rPr>
        <w:t xml:space="preserve">בשנים האחרונות אף חלה עליה מתמדת במספר אירועי הירי המדווחים למשטרה </w:t>
      </w:r>
      <w:r>
        <w:rPr>
          <w:rtl w:val="true"/>
        </w:rPr>
        <w:t xml:space="preserve">... </w:t>
      </w:r>
      <w:r>
        <w:rPr>
          <w:rtl w:val="true"/>
        </w:rPr>
        <w:t>על רקע המציאות אותה אנו חווים למרבה הצער מדי יום</w:t>
      </w:r>
      <w:r>
        <w:rPr>
          <w:rtl w:val="true"/>
        </w:rPr>
        <w:t xml:space="preserve">, </w:t>
      </w:r>
      <w:r>
        <w:rPr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בית משפט זה לא נותר אדיש למול השימוש הגובר בנשק חם</w:t>
      </w:r>
      <w:r>
        <w:rPr>
          <w:rtl w:val="true"/>
        </w:rPr>
        <w:t xml:space="preserve">, </w:t>
      </w:r>
      <w:r>
        <w:rPr>
          <w:rtl w:val="true"/>
        </w:rPr>
        <w:t>והדגיש לא אחת את הצורך בענישה מחמירה ומרתיעה כלפי השימוש בו לשם פתרון סכסוכים</w:t>
      </w:r>
      <w:r>
        <w:rPr>
          <w:rtl w:val="true"/>
        </w:rPr>
        <w:t xml:space="preserve">. </w:t>
      </w:r>
      <w:r>
        <w:rPr>
          <w:rtl w:val="true"/>
        </w:rPr>
        <w:t>זאת במיוחד כאשר השימוש בו נעשה בסביבת בתי מגורים</w:t>
      </w:r>
      <w:r>
        <w:rPr>
          <w:rtl w:val="true"/>
        </w:rPr>
        <w:t xml:space="preserve">... </w:t>
      </w:r>
      <w:r>
        <w:rPr>
          <w:rtl w:val="true"/>
        </w:rPr>
        <w:t>בהתאם לכך ולנוכח ריבוי מקרי הירי</w:t>
      </w:r>
      <w:r>
        <w:rPr>
          <w:rtl w:val="true"/>
        </w:rPr>
        <w:t xml:space="preserve">, </w:t>
      </w:r>
      <w:r>
        <w:rPr>
          <w:rtl w:val="true"/>
        </w:rPr>
        <w:t>יש לנקוט במדיניות ענישה מחמירה כלפי ביצוע עבירות החזקת נשק שלא כדין</w:t>
      </w:r>
      <w:r>
        <w:rPr>
          <w:rtl w:val="true"/>
        </w:rPr>
        <w:t xml:space="preserve">, </w:t>
      </w:r>
      <w:r>
        <w:rPr>
          <w:rtl w:val="true"/>
        </w:rPr>
        <w:t>ועל אחת כמה וכמה שימוש בנשק חם ופציעתם של קורבנות שונים עקב כך</w:t>
      </w:r>
      <w:r>
        <w:rPr>
          <w:rtl w:val="true"/>
        </w:rPr>
        <w:t xml:space="preserve">. </w:t>
      </w:r>
      <w:r>
        <w:rPr>
          <w:rtl w:val="true"/>
        </w:rPr>
        <w:t>הצורך במדיניות ענישה מחמירה נחוץ במיוחד כאשר השימוש בנשק גורר פגיעה בגוף ובנפש</w:t>
      </w:r>
      <w:r>
        <w:rPr>
          <w:rtl w:val="true"/>
        </w:rPr>
        <w:t xml:space="preserve">, </w:t>
      </w:r>
      <w:r>
        <w:rPr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tl w:val="true"/>
        </w:rPr>
        <w:t xml:space="preserve">, </w:t>
      </w:r>
      <w:r>
        <w:rPr>
          <w:rtl w:val="true"/>
        </w:rPr>
        <w:t>כמו גם להגעתו של נשק זה לגורמים עוינים ובכללם גורמי טרור</w:t>
      </w:r>
      <w:r>
        <w:rPr>
          <w:rtl w:val="true"/>
        </w:rPr>
        <w:t>" (</w:t>
      </w:r>
      <w:r>
        <w:rPr>
          <w:rtl w:val="true"/>
        </w:rPr>
        <w:t xml:space="preserve">כן ראו לעניין זה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7/2/2005</w:t>
      </w:r>
      <w:r>
        <w:rPr>
          <w:rtl w:val="true"/>
        </w:rPr>
        <w:t xml:space="preserve">)).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מעשיו של הנאשם חמורים ביותר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במי שנטל לידיו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בצוותא עם אחר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נשק 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בדין לנשיאתו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נשק אשר הוביל בסופו של דבר למותו של המנוח ולפציעה חמורה של שלושה אנשים נוספים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נסיבות הקשורות בביצוע העבירה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תכנון ומידת האשם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מעשיו של הנאשם אינם פרי של החלטה רגעית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נהפוך הוא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ושותפו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קשרו קשר לבצע את העבירה והצטיידו מבעוד מועד בנשק על מנת לבצע ירי ובכיסוי פנים אשר ימנע את זיהויו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בעת הביצוע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התכנון כלל אף תיאום בין השניים וחלוקת תפקידים ברורה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שהנאשם הוא זה שתצפת על בורהום ויונס שהתיישבו עם חבריהם במתחם וחיכה לרגע בו עטיה יעזוב את המקום וניתן יהיה לבצע ירי לעבר החבורה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כשעטיה אכן עזב את המקום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התקשר הנאשם לשותפו על מנת שזה האחרון יחל בביצוע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המדובר בתכנון ממוקד מראש וחלקו של הנאשם משמעותי וחיוני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הנזק שנגרם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מהירי נפצעו שלושה אנשים בצורה קשה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ואדם נוסף איבד את 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המנוח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בעובר אורח שאינו קשור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חבורה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ונקלע שלא בטובתו לזירת האירוע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העובדה שהירי הראשוני לא נועד להמיתו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נורה רק בעת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מילוט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אינה מפחיתה כמובן מהתוצאה הקשה ומהאובדן של המשפחה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שתואר בתסקיר מעלה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לגבי הפצוע מוחמד מרעי – אף כאן המדובר בנזק קשה של ממש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בתסקיר שהוכן לגביו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מעבר לפגיעות הקשות אשר נגרמו בפועל כתוצאה ממעשיו של הנאשם ושותפו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ניתן להתעלם מהנזק הרב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שיכול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להיגרם לכל יתר הנוכחים במתחם בשעה שג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ירה בצורה פרועה לתוך חדר מלא אנשים ויש לברך על כך שחלק מהנוכחים ניצלו מפגיעה רק בשל שהצליחו להישכב או להימלט מהמקום בזמן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מדיניות הענישה הנהוגה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מנעד הענישה בעבירות הריגה רחב ומשתנה על פי הנסיבות הספציפיות של האירוע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מבין פסקי הדין אשר עוסקים בעבירת ההריגה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נזכיר את המקרים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109/10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27.6.2011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שם נדון עניינם של שלושה מערערים שהורשעו על פי הודאתם בעבירות של הריגה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נשיאתו והובלתו וקשירת קשר לביצוע 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מקרה המערערים ואחר קשרו קשר לפגוע בבני משפחת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הם הצטיידו באקדחים ותחמושת וארבו לרכב בו נסעו המנוח ובניו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המערערים רדפו אחר הרכב תוך שהאחר יורה לעברו באקדח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מהירי מת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בגדר הסדר טיעון עתרה המאשימה להטיל עונשים של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 על כל אחד מן המערערים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שניים מהמערערים הושתו </w:t>
      </w:r>
      <w:r>
        <w:rPr>
          <w:rFonts w:cs="David" w:ascii="David" w:hAnsi="David"/>
          <w:sz w:val="24"/>
          <w:szCs w:val="24"/>
          <w:u w:val="double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בפועל ואילו על השלישי הושתו </w:t>
      </w:r>
      <w:r>
        <w:rPr>
          <w:rFonts w:cs="David" w:ascii="David" w:hAnsi="David"/>
          <w:sz w:val="24"/>
          <w:szCs w:val="24"/>
          <w:u w:val="double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ערעורם על חומרת העונש נדחה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5373/12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אבורמד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15.4.2015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תחילתו של האירוע הנו תאונת דרכים קלה שארעה בין רכבו של הנאשם לבין רכבו של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בין השניים התפתחה קטטה אשר במהלכה המנוח הפיל את הנאשם ארצה ושכב מעליו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ואז דקר הנאשם את המנוח מספר דקירות קטלניות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טענתו של הנאשם להגנה עצמית נדחתה והוא הורשע בעבירת ההריגה ועונשו נגזר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u w:val="double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ערעורו על ההרשעה ועל העונש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10045/17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רבאייב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24.12.2018</w:t>
      </w:r>
      <w:r>
        <w:rPr>
          <w:rFonts w:cs="David" w:ascii="David" w:hAnsi="David"/>
          <w:sz w:val="24"/>
          <w:szCs w:val="24"/>
          <w:rtl w:val="true"/>
        </w:rPr>
        <w:t>) -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פי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אסף המנוח שניים מחבריו ויחדיו נסעו למרכז הישוב בפרדס חנה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באותה עת ישבו המערער וחברו על ספסל ברחוב והמתינו לאוטובוס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המנוח הבחין במערער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אותו הכיר במסגרת היכרות מוקדמת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עצר את המכונית ועם עצירתה התפתח בין המנוח לבין המערער ויכוח שכלל קללות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המנוח פתח את דלת המכונית והחל ללכת לכיוון חלקה האחורי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זה קם המערער ממקום מושבו ורץ לעברו של המנוח כשבידו סכין ודקר את המנוח בחזה עם הסכין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שלף המערער את הסכין ונמלט מהמקום והמנוח צעד מספר צעדים לעבר המדרכה ונפל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וכעבור זמן קצר נקבע 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כתב האישום ייחס למערער עבירת רצח 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בהכרעת הדין זיכה בית המשפט המחוזי את המערער מביצוע עבירת הרצח והרשיע אותו בעבירת הריגה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כי מתחם העונש ההולם עומד על </w:t>
      </w:r>
      <w:r>
        <w:rPr>
          <w:rFonts w:cs="David" w:ascii="David" w:hAnsi="David"/>
          <w:sz w:val="24"/>
          <w:szCs w:val="24"/>
        </w:rPr>
        <w:t>16-20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ובסופו של דבר השית בית משפט על המערער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הפחית בעונש נוכח גילו הצעיר של המערער בעת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העדר עבר פלילי  ומצב נפשי מורכב והעמיד עונשו על </w:t>
      </w:r>
      <w:r>
        <w:rPr>
          <w:rFonts w:cs="David" w:ascii="David" w:hAnsi="David"/>
          <w:sz w:val="24"/>
          <w:szCs w:val="24"/>
          <w:u w:val="double"/>
        </w:rPr>
        <w:t>16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ונקבע כי בנסיבות של עבירת הריגה הקרובה בנסיבותיה לרצח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רמת הענישה הנוהגת היא במנעד שבין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15.3.2020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שם נדון עניינו של נאשם שהודה והורשע בעבירת הריגה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הנאשם למקום ציבורי בעקבות קריאתו של אחיו על כך שהמנוח נמצא במקום ומביט עליהם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פנה למנוח והשניים החלו לדחוף זה את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המנוח החל להתקרב אל אחיו של הנאשם והנאשם בתגובה שלף סכין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התנפל על המנוח ותקף אותו ביחד עם אחיו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 התקיפה דקר את המנוח דקירה שכתוצאה ממנה נפטר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מחוזי קבע מתחם עונש הולם של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והטיל על הנאשם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העליון הפחית מהעונש והעמידו על </w:t>
      </w:r>
      <w:r>
        <w:rPr>
          <w:rFonts w:cs="David" w:ascii="David" w:hAnsi="David"/>
          <w:sz w:val="24"/>
          <w:szCs w:val="24"/>
          <w:u w:val="double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 נוכח הקשיים הרבים בתנאי מאסרו ובשל נסיבות ייחודיות שפורטו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5" w:start="85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9232/18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טוטיקוב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05.11.2020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בבימ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 המחוזי בעבירת הריגה לפי </w:t>
      </w:r>
      <w:hyperlink r:id="rId2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298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והושתו עליו </w:t>
      </w:r>
      <w:r>
        <w:rPr>
          <w:rFonts w:cs="David" w:ascii="David" w:hAnsi="David"/>
          <w:sz w:val="24"/>
          <w:szCs w:val="24"/>
          <w:u w:val="double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מאסרים מותנים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ופיצוי לאשת המנוח בסך של </w:t>
      </w:r>
      <w:r>
        <w:rPr>
          <w:rFonts w:cs="David" w:ascii="David" w:hAnsi="David"/>
          <w:sz w:val="24"/>
          <w:szCs w:val="24"/>
        </w:rPr>
        <w:t>200,000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הערעור על ההרשעה ועל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635" w:start="85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5" w:start="85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בעניין שנדון 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7744/14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הייב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10.12.2015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המשיב בהריגה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ירי באזור מגורים וקשירת קשר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המשיב הושלך רימון ויום לאחר מכן ניגשו המשיב ושניים נוספים לבית המנוח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כיון שחשדו כי הוא היה מי שהשליך את הרימון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כשהם מצוידים ברובים וירו לעבר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קליעים רבים – כאשר אחד מהם פגע בחזהו של המנוח והרגו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השית על המשיב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 אך ערעור המדינה על קולת העונש התקבל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והעונש הוחמר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u w:val="double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לעברו הפלילי של 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לשיקולי הרתעת הרבים ותוך שהודגש הכלל שערכאת הערעור אינה ממצה את הדין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635" w:start="85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5" w:start="85" w:end="0"/>
        <w:contextualSpacing/>
        <w:jc w:val="both"/>
        <w:rPr/>
      </w:pP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105/17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זיתוני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26.12.2017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דן בנאשם שחבט בראשו של אחר באמצעות מקל שבו הצטייד מבעוד מועד לצורך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שבהן החבטה גרמה למותו של אותו אדם והוא הורשע בהריגה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ברוב דעות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העמיד את העונש על </w:t>
      </w:r>
      <w:r>
        <w:rPr>
          <w:rFonts w:cs="David" w:ascii="David" w:hAnsi="David"/>
          <w:sz w:val="24"/>
          <w:szCs w:val="24"/>
          <w:u w:val="double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635" w:start="85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4887/15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גנסון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14.07.2016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התברר ערעור על פסק דינו של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המחוזי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שבגדרו הורשע המערער בעבירת הריגה והושתו עליו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המערער הכה את המנוח בידיו וכך גרם למותו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הפחית מעט את העונש בשל שהמערער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האירוע לא היה מתוכנן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חייו והעובדה שהמערער הזעיק את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והעמיד את העונש על </w:t>
      </w:r>
      <w:r>
        <w:rPr>
          <w:rFonts w:cs="David" w:ascii="David" w:hAnsi="David"/>
          <w:sz w:val="24"/>
          <w:szCs w:val="24"/>
          <w:u w:val="double"/>
        </w:rPr>
        <w:t>9.5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לגבי עבירת חבלה בכוונה מחמירה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6802/16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כתנאני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13.7.2017</w:t>
      </w:r>
      <w:r>
        <w:rPr>
          <w:rFonts w:cs="David" w:ascii="David" w:hAnsi="David"/>
          <w:sz w:val="24"/>
          <w:szCs w:val="24"/>
          <w:rtl w:val="true"/>
        </w:rPr>
        <w:t xml:space="preserve">)- </w:t>
      </w:r>
      <w:r>
        <w:rPr>
          <w:rFonts w:ascii="David" w:hAnsi="David" w:cs="David"/>
          <w:sz w:val="24"/>
          <w:sz w:val="24"/>
          <w:szCs w:val="24"/>
          <w:rtl w:val="true"/>
        </w:rPr>
        <w:t>אירוע אשר במסגרתו ובעקבות סכסוך ירה המערער על המתלונן בעת הימלטותו ופגע בגבו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שהוא גורם לו נזק בלתי הפיך לאחת מכליותיו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חרף קיומה של סולחה והפיצוי הנכבד ששולם למתלונן עוד טרם הסתיים ההליך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השית בית המשפט המחוזי </w:t>
      </w:r>
      <w:r>
        <w:rPr>
          <w:rFonts w:cs="David" w:ascii="David" w:hAnsi="David"/>
          <w:sz w:val="24"/>
          <w:szCs w:val="24"/>
          <w:u w:val="double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 על המערער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העליון דחה את הערעור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6459/17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קדושים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27.2.2018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במקרה זה קשרו שניים קשר לירות ולגרום חבלה חמורה לאחר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הם הצטיידו בקטנוע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קסדה ונשק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חלפו עמו סמוך למתלונן ואז ירה אחד מהם בהסכמת האחר לעבר המתלונן ופגע בזרועו ובחזהו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מחוזי השית על היורה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ועל חברו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העליון קיבל את ערעור המדינה והשית על שני הנאשמים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u w:val="double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6359/18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11.4.2019</w:t>
      </w:r>
      <w:r>
        <w:rPr>
          <w:rFonts w:cs="David" w:ascii="David" w:hAnsi="David"/>
          <w:sz w:val="24"/>
          <w:szCs w:val="24"/>
          <w:rtl w:val="true"/>
        </w:rPr>
        <w:t xml:space="preserve">)-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 בעבירות של חבלה בכוונה מחמירה והחזקת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כתב האישום בין המתלונן לבין הנאשם התגלע ויכוח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בני דודיו של הנאשם ביקשו ליישב את הסכסוך בין השניים והחליטו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בידיעת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לאסוף את המתלונן ברכבם ולהביאו למפגש עם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כשהגיעו אל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המתין להם הנאשם כשהוא מחזיק ברובה צייד טעון שהצטייד בו מבעוד מועד בכוונה לירות במתלונן וכך עשה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ירה לעבר המתלונן כדור אחד ופצע אותו בברך ימין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העליון החמיר בעונש והעמידו על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u w:val="double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6383/12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חאלד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29.9.2014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יסוד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חבלה חמורה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והובלת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כתב האישום המערער החזיק ברכבו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היתר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 הטעון בתחמושת ונסע לקרבת מוסך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כשהגיע למוסך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הבחין במתלונן אשר עמו היה מסוכסך וירה לעברו </w:t>
      </w:r>
      <w:r>
        <w:rPr>
          <w:rFonts w:cs="David" w:ascii="David" w:hAnsi="David"/>
          <w:sz w:val="24"/>
          <w:szCs w:val="24"/>
        </w:rPr>
        <w:t>4-6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ופגע ברגלו הימנית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 העמיד העונש על </w:t>
      </w:r>
      <w:r>
        <w:rPr>
          <w:rFonts w:cs="David" w:ascii="David" w:hAnsi="David"/>
          <w:sz w:val="24"/>
          <w:szCs w:val="24"/>
          <w:u w:val="double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/>
      </w:pP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5376/18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אגבאריה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25.12.2019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בעבירות של חבלה בכוונה מחמירה והחזקת ונשיאת נשק ותחמושת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סכסוך משפחתי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הנאשם מול ביתו של המתלונן בזמן שהמתלונן ואחיו שיפצו קיר מחוץ לבית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וירה עליהם באמצעות נשק חם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תת מקלע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כדור אחד פגע ברגלו של המתלונן אשר נאלץ לעבור מספר ניתוחים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מחוזי הטיל על הנאשם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העמיד את העונש על </w:t>
      </w:r>
      <w:r>
        <w:rPr>
          <w:rFonts w:cs="David" w:ascii="David" w:hAnsi="David"/>
          <w:sz w:val="24"/>
          <w:szCs w:val="24"/>
          <w:u w:val="double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firstLine="636" w:start="84" w:end="0"/>
        <w:contextualSpacing/>
        <w:jc w:val="both"/>
        <w:rPr>
          <w:rFonts w:ascii="David" w:hAnsi="David" w:cs="David"/>
          <w:sz w:val="24"/>
          <w:szCs w:val="24"/>
        </w:rPr>
      </w:pP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7374/07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שמאי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16.11.2009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הנאשם אשר ירה לעבר מועדון ונידון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u w:val="double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 וזאת חרף העובדה שאיש לא נפגע מהירי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משפט העליון קבע כי אין מקום להתערב בעונש וכי צדק בית משפט קמא באומרו כי יש להביע סלידה ממעשים כגון אלה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מתחם הענישה  ההולם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בהתחשב במהות 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בערכים החברתיים שנפגעו מביצוע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במדיניות הענישה הנהוגה ובנסיבות הקשורות בביצוע העבירות – וכאשר יש לקחת בחשבון את חלקו הקטן יותר של הנאשם בביצוע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למרות שהוא אחראי בפלילים למכלול המעשים ולכל התוצאות בהיותו שותף למעשים וקושר קשר לביצועם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אציע לחברי להרכב לקבוע כי מתחם הענישה הכולל הראוי הינו </w:t>
      </w:r>
      <w:r>
        <w:rPr>
          <w:rFonts w:cs="David" w:ascii="David" w:hAnsi="David"/>
          <w:sz w:val="24"/>
          <w:szCs w:val="24"/>
          <w:u w:val="double"/>
        </w:rPr>
        <w:t>12</w:t>
      </w:r>
      <w:r>
        <w:rPr>
          <w:rFonts w:cs="David" w:ascii="David" w:hAnsi="David"/>
          <w:sz w:val="24"/>
          <w:szCs w:val="24"/>
          <w:u w:val="doub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double"/>
          <w:rtl w:val="true"/>
        </w:rPr>
        <w:t xml:space="preserve">עד </w:t>
      </w:r>
      <w:r>
        <w:rPr>
          <w:rFonts w:cs="David" w:ascii="David" w:hAnsi="David"/>
          <w:sz w:val="24"/>
          <w:szCs w:val="24"/>
          <w:u w:val="double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בהתייחס לכל העבירות יחדיו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גזר הדין בעניין שותפו של הנאשם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אודת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טרם נבחן את העונש הראוי בתוך המתחם – נאמר עוד כמה מילים על גזר הדין של גאודת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עניינו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שותפו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התנהל בפני מותב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וכפי שצוין בפתיח – משפטו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הסתיים בהסדר טיעון הכולל את תיקון כתב האישום באופן זהה לכתב האישום המתוקן בו הורשע הנאשם שבפנינו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וכאשר 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הסכימו הצדדים גם על טווח ענישה אשר נע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המותב שדן בעניינו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קיבל את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עליו </w:t>
      </w:r>
      <w:r>
        <w:rPr>
          <w:rFonts w:cs="David" w:ascii="David" w:hAnsi="David"/>
          <w:sz w:val="24"/>
          <w:szCs w:val="24"/>
        </w:rPr>
        <w:t>17.5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הצדדים העלו טענות מטענות שונות באשר לנפקות שיש לטווח הענישה שנקבע בעניינו של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 כאשר באים אנו לגזור את דינו של הנאשם 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ועלו טענות באשר ליחס שבין טווח הענישה שם לבין מתחם הענישה הראוי כאן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 הועלו טענות באשר לשאלה אם הקשיים הראייתיים שהניבו את הסדר הטיעון שם קיימים גם 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ואם כן – האם הדבר בעל משמעות לגבי מתחם הענישה כאן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דומה כי אין חובה להכריע במכלול השאלות האמורות שכן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קביעת המתחם כפי שהצעתי מבוססת על נסיבות המקרה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לוקחת בחשבון את חלקו של הנאשם בביצוע העבירות נשוא הקשר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הפסיקה הנוהגת וכו</w:t>
      </w:r>
      <w:r>
        <w:rPr>
          <w:rFonts w:cs="David" w:ascii="David" w:hAnsi="David"/>
          <w:sz w:val="24"/>
          <w:szCs w:val="24"/>
          <w:rtl w:val="true"/>
        </w:rPr>
        <w:t xml:space="preserve">' – </w:t>
      </w:r>
      <w:r>
        <w:rPr>
          <w:rFonts w:ascii="David" w:hAnsi="David" w:cs="David"/>
          <w:sz w:val="24"/>
          <w:sz w:val="24"/>
          <w:szCs w:val="24"/>
          <w:rtl w:val="true"/>
        </w:rPr>
        <w:t>והמידע לגבי הסדר הטיעון בקשר לג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הינו אך שיקול אחד מיני 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שיקול דומיננטי בקביעת המתחם לגבי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העונש המתאים בזיקה למתחמי הענישה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מקדמית יובהר כי אין לסטות מהמתחם שנקבע מעלה משיקולי שיקום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נותרה אם כן גזירת דינו של הנאשם הספציפי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השיקולים המנחים בשלב זה כוללים התחשבות בנסיבות האישיות של הנאשם שאינן קשורות בביצוע העבירה ובשאר הפרמטרים המפורטים בהוראות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עבר פלילי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לנאשם כאמור עבר פלילי מכביד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מעיון בגיליון הרישום הפלילי של הנאשם עולה תמונה של אדם אשר חרף גילו הצעיר שהה שנים ארוכות בבית הסוהר בגין עבירות מסוגים 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הנאשם בשנת </w:t>
      </w:r>
      <w:r>
        <w:rPr>
          <w:rFonts w:cs="David" w:ascii="David" w:hAnsi="David"/>
          <w:sz w:val="24"/>
          <w:szCs w:val="24"/>
        </w:rPr>
        <w:t>2007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 בגין ביצוע עבירות מין בקטין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 ניהול משפטו בגין עבירות המין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ביצע הנאשם יחד עם אחרים שורה של עבירות שנסיבותיהן דומות מאוד לתיק שבפנינו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אותו 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סכסוך בין משפחות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באדם ופצע אותו קשות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עקב כך בעבירות של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היזק בזדון וניסיון לחבלה חמורה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בגין כל זאת נדון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3.7.2008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בפועל ושנתיים מאסר על תנאי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השתחרר הנאשם ממאסרו ביום </w:t>
      </w:r>
      <w:r>
        <w:rPr>
          <w:rFonts w:cs="David" w:ascii="David" w:hAnsi="David"/>
          <w:sz w:val="24"/>
          <w:szCs w:val="24"/>
        </w:rPr>
        <w:t>25.7.2018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וכחודש בלבד מיום שחרורו ביצע את העבירות נשוא תיק זה – דבר המלמד על מסוכנותו כי רבה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נסיבות חייו של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מטיעוני ההגנה עולה כי נסיבות חייו של הנאשם אינן קלות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נאלץ לסייע בפרנסת המשפחה מגיל מאוד צעיר והיה חשוף לסביבה אלימה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להקל ראש באמור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שאין לתת לדברים משקל 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העבר הפלילי המשמעותי ומהות העבירות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שיקולי הרתעה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יש צורך בענישה מחמירה על מנת להרתיע את הנאשם מביצוע עבירות בעתיד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יש אף צורך בהרתעת הרבים מפני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את הקושרים קשר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אם הם אינם מי שמבצע את הירי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התנהלות חלק מהקרבנות עובר לאירוע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מצאתי להעניק משקל לעובדה כי הוגש כתב אישום גם כנגד חלק מחברי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החבורה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עטיה עמאש ויונס עמאש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בהתייחס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 המקדים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מעיון בכתב האישום בעניינם עולה כי עטיה נשא והחזיק אקדח ומסר אותו לידי יונס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כיוון את האקדח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כלפי מעלה וירה מספר רב של יריות כלפי מעלה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במועד הרלבנטי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ועוד יוער כי בכתב האישום נגד שניים אלו לא צוין כי עטיה ויונס ירו לעבר בית מגוריו של הנאשם או לעבר בית מגורים כלשהו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אוכל לקבל את עמדת ההגנה כי יש לכתב האישום נגד שניים אלה כדי ללמד על נסיבה פרטנית שיש לשקול לקולא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לטובת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צפייתו של הנאשם את מותו של המנוח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לא מצאתי לקבל את טענת ההגנה כי קיים ספק אם הנאשם צפה את אירוע הירי בגינו מצא המנוח את מותו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מאחר ולא תכנן עם שותפו להמית אדם זה או אחר באירוע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במסגרת הסדר הטיעון בעובדות כתב האישום המתוקן הכולל גם את עבירת ההריגה שבוצעה כלפי המנוח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המקרה שלפנינו בהן ביצעו הנאשם ושותפו ירי לעבר חבורת אנשים סביר להניח כי אותו הירי יגרום גם למוות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שארע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בשלב המילוט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זה ראו את 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7637/05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יוסף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5.7.2007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שם נקבע כי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Narkisim" w:hAnsi="Narkisim" w:cs="Narkisim"/>
          <w:sz w:val="24"/>
          <w:sz w:val="24"/>
          <w:szCs w:val="24"/>
          <w:rtl w:val="true"/>
        </w:rPr>
        <w:t>בנסיבות המקרה שלפנינו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משיצאו הארבעה שפניהם לנקמה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>מתוך מטרה לפתוח בתגרה כשבידיהם כלי משחית</w:t>
      </w:r>
      <w:r>
        <w:rPr>
          <w:rFonts w:cs="Narkisim" w:ascii="Narkisim" w:hAnsi="Narkisim"/>
          <w:sz w:val="24"/>
          <w:szCs w:val="24"/>
          <w:rtl w:val="true"/>
        </w:rPr>
        <w:t xml:space="preserve">, </w:t>
      </w:r>
      <w:r>
        <w:rPr>
          <w:rFonts w:ascii="Narkisim" w:hAnsi="Narkisim" w:cs="Narkisim"/>
          <w:sz w:val="24"/>
          <w:sz w:val="24"/>
          <w:szCs w:val="24"/>
          <w:rtl w:val="true"/>
        </w:rPr>
        <w:t xml:space="preserve">נדמה כי בעליל קיימת אותה </w:t>
      </w:r>
      <w:r>
        <w:rPr>
          <w:rFonts w:cs="Narkisim" w:ascii="Narkisim" w:hAnsi="Narkisim"/>
          <w:sz w:val="24"/>
          <w:szCs w:val="24"/>
          <w:rtl w:val="true"/>
        </w:rPr>
        <w:t>"</w:t>
      </w:r>
      <w:r>
        <w:rPr>
          <w:rFonts w:ascii="Narkisim" w:hAnsi="Narkisim" w:cs="Narkisim"/>
          <w:sz w:val="24"/>
          <w:sz w:val="24"/>
          <w:szCs w:val="24"/>
          <w:rtl w:val="true"/>
        </w:rPr>
        <w:t>מודעות בכוח</w:t>
      </w:r>
      <w:r>
        <w:rPr>
          <w:rFonts w:cs="Narkisim" w:ascii="Narkisim" w:hAnsi="Narkisim"/>
          <w:sz w:val="24"/>
          <w:szCs w:val="24"/>
          <w:rtl w:val="true"/>
        </w:rPr>
        <w:t xml:space="preserve">" </w:t>
      </w:r>
      <w:r>
        <w:rPr>
          <w:rFonts w:ascii="Narkisim" w:hAnsi="Narkisim" w:cs="Narkisim"/>
          <w:sz w:val="24"/>
          <w:sz w:val="24"/>
          <w:szCs w:val="24"/>
          <w:rtl w:val="true"/>
        </w:rPr>
        <w:t>כי האירוע עלול להסתיים באופן טראגי</w:t>
      </w:r>
      <w:r>
        <w:rPr>
          <w:rFonts w:cs="Narkisim" w:ascii="Narkisim" w:hAnsi="Narkisim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הפיצוי הכספי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בנוסף על עונש המאסר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לחייב את הנאשם בפיצוי כספי לטובת משפחת המנוח ולטובת הקורבן מוחמד מרעי אשר נפגע קשות ממעשיו של הנאשם ושותפו וסובל עד היום מפגיעות פיזיות ונפשיות ומנכות קשה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בפיצוי אשר יוטל על הנאשם יהא כדי לפצות את משפחת המנוח ואת הקורבן בגין סבלם ולהמחיש לנאשם את אחריותו כלפי כל האנשים אשר נפגעו ממעשיו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סיכום 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-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0"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במכלול השיקולים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במתחם הענישה ההולם לעיל ולאחר שקילת ההיבטים לחומרה ולקולה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והואיל והעיקרון המנחה בענישה הוא קיומו של יחס הולם בין חומרת מעשה העבירה בנסיבותיו ומידת אשמו של הנאשם ובין סוג ומידת העונש המוטל עליו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כקבוע </w:t>
      </w:r>
      <w:hyperlink r:id="rId3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'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אציע לחברי להרכב לגזור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ארבע עשרה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מעצרו </w:t>
      </w:r>
      <w:r>
        <w:rPr>
          <w:rFonts w:cs="David" w:ascii="David" w:hAnsi="David"/>
          <w:sz w:val="24"/>
          <w:szCs w:val="24"/>
        </w:rPr>
        <w:t>4.9.2018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וזאת במצטבר להפעלת המאסר על תנאי בן השנתיים שהוטל על הנאשם במסגרת תיק 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4040/07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3.7.2008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שבסך הכל ירצה הנאשם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שנתיים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 הוא שהנאשם לא יעבור עבירת אלימות מסוג פשע ויורשע בגינה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ישלם למשפחת המנוח פיצוי כספי בסך </w:t>
      </w:r>
      <w:r>
        <w:rPr>
          <w:rFonts w:cs="David" w:ascii="David" w:hAnsi="David"/>
          <w:sz w:val="24"/>
          <w:szCs w:val="24"/>
        </w:rPr>
        <w:t>140,000</w:t>
      </w:r>
      <w:r>
        <w:rPr>
          <w:rFonts w:cs="David" w:ascii="David" w:hAnsi="David"/>
          <w:sz w:val="24"/>
          <w:szCs w:val="24"/>
          <w:rtl w:val="true"/>
        </w:rPr>
        <w:t xml:space="preserve"> ₪ (</w:t>
      </w:r>
      <w:r>
        <w:rPr>
          <w:rFonts w:ascii="David" w:hAnsi="David" w:cs="David"/>
          <w:sz w:val="24"/>
          <w:sz w:val="24"/>
          <w:szCs w:val="24"/>
          <w:rtl w:val="true"/>
        </w:rPr>
        <w:t>אשר יחולק בחלקים שווים בין האמא לבין האחות של המנוח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בפיצוי בסך </w:t>
      </w:r>
      <w:r>
        <w:rPr>
          <w:rFonts w:cs="David" w:ascii="David" w:hAnsi="David"/>
          <w:sz w:val="24"/>
          <w:szCs w:val="24"/>
        </w:rPr>
        <w:t>70,000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לטובת מוחמד מרעי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הסכום יופקד בקופת בית המשפט עד ליום </w:t>
      </w:r>
      <w:r>
        <w:rPr>
          <w:rFonts w:cs="David" w:ascii="David" w:hAnsi="David"/>
          <w:sz w:val="24"/>
          <w:szCs w:val="24"/>
        </w:rPr>
        <w:t>1.1.2022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648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tbl>
      <w:tblPr>
        <w:bidiVisual w:val="true"/>
        <w:tblW w:w="2418" w:type="dxa"/>
        <w:jc w:val="start"/>
        <w:tblInd w:w="-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18"/>
      </w:tblGrid>
      <w:tr>
        <w:trPr/>
        <w:tc>
          <w:tcPr>
            <w:tcW w:w="24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tl w:val="true"/>
                <w:lang w:val="en-IL" w:eastAsia="en-IL"/>
              </w:rPr>
              <w:drawing>
                <wp:inline distT="0" distB="0" distL="0" distR="0">
                  <wp:extent cx="1323340" cy="495300"/>
                  <wp:effectExtent l="0" t="0" r="0" b="0"/>
                  <wp:docPr id="1" name="תמונה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22" t="-43" r="-22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418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נאות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פרי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השופטת רונית בש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אני מסכימה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tbl>
      <w:tblPr>
        <w:bidiVisual w:val="true"/>
        <w:tblW w:w="2836" w:type="dxa"/>
        <w:jc w:val="start"/>
        <w:tblInd w:w="3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"/>
        <w:gridCol w:w="2553"/>
      </w:tblGrid>
      <w:tr>
        <w:trPr/>
        <w:tc>
          <w:tcPr>
            <w:tcW w:w="28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5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tl w:val="true"/>
                <w:lang w:val="en-IL" w:eastAsia="en-IL"/>
              </w:rPr>
              <w:drawing>
                <wp:inline distT="0" distB="0" distL="0" distR="0">
                  <wp:extent cx="1143000" cy="751840"/>
                  <wp:effectExtent l="0" t="0" r="0" b="0"/>
                  <wp:docPr id="2" name="תמונה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8" t="-41" r="-28" b="-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51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5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בש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השופט אברהם אליקים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סגן נשיא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אני מסכים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tbl>
      <w:tblPr>
        <w:bidiVisual w:val="true"/>
        <w:tblW w:w="2549" w:type="dxa"/>
        <w:jc w:val="start"/>
        <w:tblInd w:w="13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0"/>
        <w:gridCol w:w="239"/>
      </w:tblGrid>
      <w:tr>
        <w:trPr/>
        <w:tc>
          <w:tcPr>
            <w:tcW w:w="231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tl w:val="true"/>
                <w:lang w:val="en-IL" w:eastAsia="en-IL"/>
              </w:rPr>
              <w:drawing>
                <wp:inline distT="0" distB="0" distL="0" distR="0">
                  <wp:extent cx="1418590" cy="257175"/>
                  <wp:effectExtent l="0" t="0" r="0" b="0"/>
                  <wp:docPr id="3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18" t="-88" r="-18" b="-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אליקים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הנשיא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הוחלט פה אחד לגזור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u w:val="single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</w:t>
      </w:r>
      <w:r>
        <w:rPr>
          <w:rFonts w:ascii="David" w:hAnsi="David" w:cs="David"/>
          <w:sz w:val="24"/>
          <w:sz w:val="24"/>
          <w:szCs w:val="24"/>
          <w:rtl w:val="true"/>
        </w:rPr>
        <w:t>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מאסר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מעצרו </w:t>
      </w:r>
      <w:r>
        <w:rPr>
          <w:rFonts w:cs="David" w:ascii="David" w:hAnsi="David"/>
          <w:sz w:val="24"/>
          <w:szCs w:val="24"/>
        </w:rPr>
        <w:t>4.9.2018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וזאת במצטבר להפעלת המאסר על תנאי בן השנתיים שהוטל על הנאשם במסגרת תיק 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4040/07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3.7.2008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שבסך הכל ירצה הנאשם </w:t>
      </w:r>
      <w:r>
        <w:rPr>
          <w:rFonts w:cs="David" w:ascii="David" w:hAnsi="David"/>
          <w:sz w:val="24"/>
          <w:szCs w:val="24"/>
          <w:u w:val="single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</w:t>
      </w:r>
      <w:r>
        <w:rPr>
          <w:rFonts w:cs="David" w:ascii="David" w:hAnsi="David"/>
          <w:sz w:val="24"/>
          <w:szCs w:val="24"/>
        </w:rPr>
        <w:t>4/9/18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שנתיים מאסר על תנאי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והתנאי הוא שהנאשם לא יעבור עבירת אלימות מסוג פשע ויורשע בגינה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Guttman Yad"/>
          <w:sz w:val="24"/>
          <w:szCs w:val="24"/>
        </w:rPr>
      </w:pPr>
      <w:r>
        <w:rPr>
          <w:rFonts w:cs="Guttman Ya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ישלם למשפחת המנוח פיצוי כספי בסך </w:t>
      </w:r>
      <w:r>
        <w:rPr>
          <w:rFonts w:cs="David" w:ascii="David" w:hAnsi="David"/>
          <w:sz w:val="24"/>
          <w:szCs w:val="24"/>
        </w:rPr>
        <w:t>140,000</w:t>
      </w:r>
      <w:r>
        <w:rPr>
          <w:rFonts w:cs="David" w:ascii="David" w:hAnsi="David"/>
          <w:sz w:val="24"/>
          <w:szCs w:val="24"/>
          <w:rtl w:val="true"/>
        </w:rPr>
        <w:t xml:space="preserve"> ₪ (</w:t>
      </w:r>
      <w:r>
        <w:rPr>
          <w:rFonts w:ascii="David" w:hAnsi="David" w:cs="David"/>
          <w:sz w:val="24"/>
          <w:sz w:val="24"/>
          <w:szCs w:val="24"/>
          <w:rtl w:val="true"/>
        </w:rPr>
        <w:t>אשר יחולק בחלקים שווים בין האמא לבין האחות של המנוח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פיצוי בסך </w:t>
      </w:r>
      <w:r>
        <w:rPr>
          <w:rFonts w:cs="David" w:ascii="David" w:hAnsi="David"/>
          <w:sz w:val="24"/>
          <w:szCs w:val="24"/>
        </w:rPr>
        <w:t>70,000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לטובת מוחמד מרעי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הסכום יופקד בקופת בית המשפט עד ליום </w:t>
      </w:r>
      <w:r>
        <w:rPr>
          <w:rFonts w:cs="David" w:ascii="David" w:hAnsi="David"/>
          <w:sz w:val="24"/>
          <w:szCs w:val="24"/>
        </w:rPr>
        <w:t>1.1.2022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Calibri"/>
          <w:rtl w:val="true"/>
        </w:rPr>
        <w:t xml:space="preserve"> </w:t>
      </w:r>
      <w:r>
        <w:rPr>
          <w:rFonts w:cs="David"/>
          <w:szCs w:val="24"/>
          <w:rtl w:val="true"/>
        </w:rPr>
        <w:t>תמסור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למזכירות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הפרטים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הדרושים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לצורך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ביצוע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התשלום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ובכלל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חשבון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הבנק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מנפגעי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העבירה</w:t>
      </w:r>
      <w:r>
        <w:rPr>
          <w:rFonts w:cs="David"/>
          <w:szCs w:val="24"/>
          <w:rtl w:val="true"/>
        </w:rPr>
        <w:t>.</w:t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ListParagraph"/>
        <w:spacing w:lineRule="auto" w:line="360" w:before="0" w:after="120"/>
        <w:ind w:start="84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Cs w:val="24"/>
          <w:rtl w:val="true"/>
        </w:rPr>
        <w:t>זכות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ערעור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תוך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</w:rPr>
        <w:t>45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rFonts w:cs="David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2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תמוז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2021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 עו</w:t>
      </w:r>
      <w:r>
        <w:rPr>
          <w:rFonts w:cs="Arial" w:ascii="Arial" w:hAnsi="Arial"/>
          <w:b/>
          <w:bCs/>
          <w:rtl w:val="true"/>
        </w:rPr>
        <w:t>''</w:t>
      </w:r>
      <w:r>
        <w:rPr>
          <w:rFonts w:ascii="Arial" w:hAnsi="Arial" w:cs="Arial"/>
          <w:b/>
          <w:b/>
          <w:bCs/>
          <w:rtl w:val="true"/>
        </w:rPr>
        <w:t xml:space="preserve">ד דוד </w:t>
      </w:r>
      <w:bookmarkEnd w:id="12"/>
      <w:r>
        <w:rPr>
          <w:rFonts w:ascii="Arial" w:hAnsi="Arial" w:cs="Arial"/>
          <w:b/>
          <w:b/>
          <w:bCs/>
          <w:rtl w:val="true"/>
        </w:rPr>
        <w:t>זילברמן והנאשם באמצעות השב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59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48"/>
        <w:gridCol w:w="328"/>
        <w:gridCol w:w="2418"/>
        <w:gridCol w:w="317"/>
        <w:gridCol w:w="2779"/>
      </w:tblGrid>
      <w:tr>
        <w:trPr/>
        <w:tc>
          <w:tcPr>
            <w:tcW w:w="27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17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74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אליקים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הנשיא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418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נאות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פרי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  <w:tc>
          <w:tcPr>
            <w:tcW w:w="31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77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בש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arkisim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33100-10-18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תאופיק גרבאן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SpacingChar">
    <w:name w:val="No Spacing Char"/>
    <w:qFormat/>
    <w:rPr/>
  </w:style>
  <w:style w:type="character" w:styleId="Style13">
    <w:name w:val="תצ תו"/>
    <w:qFormat/>
    <w:rPr>
      <w:rFonts w:ascii="Narkisim" w:hAnsi="Narkisim" w:cs="Narkisim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Style14">
    <w:name w:val="תצ"/>
    <w:basedOn w:val="NoSpacing"/>
    <w:qFormat/>
    <w:pPr>
      <w:spacing w:before="0" w:after="240"/>
      <w:ind w:hanging="0" w:start="1440" w:end="567"/>
      <w:jc w:val="both"/>
    </w:pPr>
    <w:rPr>
      <w:rFonts w:ascii="Narkisim" w:hAnsi="Narkisim" w:cs="Narkisim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612802" TargetMode="External"/><Relationship Id="rId19" Type="http://schemas.openxmlformats.org/officeDocument/2006/relationships/hyperlink" Target="http://www.nevo.co.il/case/5770174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6030667" TargetMode="External"/><Relationship Id="rId22" Type="http://schemas.openxmlformats.org/officeDocument/2006/relationships/hyperlink" Target="http://www.nevo.co.il/case/5678169" TargetMode="External"/><Relationship Id="rId23" Type="http://schemas.openxmlformats.org/officeDocument/2006/relationships/hyperlink" Target="http://www.nevo.co.il/case/5571029" TargetMode="External"/><Relationship Id="rId24" Type="http://schemas.openxmlformats.org/officeDocument/2006/relationships/hyperlink" Target="http://www.nevo.co.il/case/23520565" TargetMode="External"/><Relationship Id="rId25" Type="http://schemas.openxmlformats.org/officeDocument/2006/relationships/hyperlink" Target="http://www.nevo.co.il/case/26329702" TargetMode="External"/><Relationship Id="rId26" Type="http://schemas.openxmlformats.org/officeDocument/2006/relationships/hyperlink" Target="http://www.nevo.co.il/case/25274404" TargetMode="External"/><Relationship Id="rId27" Type="http://schemas.openxmlformats.org/officeDocument/2006/relationships/hyperlink" Target="http://www.nevo.co.il/law/70301/29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8654019" TargetMode="External"/><Relationship Id="rId30" Type="http://schemas.openxmlformats.org/officeDocument/2006/relationships/hyperlink" Target="http://www.nevo.co.il/case/22006497" TargetMode="External"/><Relationship Id="rId31" Type="http://schemas.openxmlformats.org/officeDocument/2006/relationships/hyperlink" Target="http://www.nevo.co.il/case/20430393" TargetMode="External"/><Relationship Id="rId32" Type="http://schemas.openxmlformats.org/officeDocument/2006/relationships/hyperlink" Target="http://www.nevo.co.il/case/21478832" TargetMode="External"/><Relationship Id="rId33" Type="http://schemas.openxmlformats.org/officeDocument/2006/relationships/hyperlink" Target="http://www.nevo.co.il/case/22919929" TargetMode="External"/><Relationship Id="rId34" Type="http://schemas.openxmlformats.org/officeDocument/2006/relationships/hyperlink" Target="http://www.nevo.co.il/case/24966889" TargetMode="External"/><Relationship Id="rId35" Type="http://schemas.openxmlformats.org/officeDocument/2006/relationships/hyperlink" Target="http://www.nevo.co.il/case/5590183" TargetMode="External"/><Relationship Id="rId36" Type="http://schemas.openxmlformats.org/officeDocument/2006/relationships/hyperlink" Target="http://www.nevo.co.il/case/24493107" TargetMode="External"/><Relationship Id="rId37" Type="http://schemas.openxmlformats.org/officeDocument/2006/relationships/hyperlink" Target="http://www.nevo.co.il/case/6102366" TargetMode="External"/><Relationship Id="rId38" Type="http://schemas.openxmlformats.org/officeDocument/2006/relationships/hyperlink" Target="http://www.nevo.co.il/case/6002494" TargetMode="External"/><Relationship Id="rId39" Type="http://schemas.openxmlformats.org/officeDocument/2006/relationships/hyperlink" Target="http://www.nevo.co.il/law/70301/40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247490" TargetMode="External"/><Relationship Id="rId42" Type="http://schemas.openxmlformats.org/officeDocument/2006/relationships/image" Target="media/image1.png"/><Relationship Id="rId43" Type="http://schemas.openxmlformats.org/officeDocument/2006/relationships/image" Target="media/image2.png"/><Relationship Id="rId44" Type="http://schemas.openxmlformats.org/officeDocument/2006/relationships/image" Target="media/image3.wmf"/><Relationship Id="rId45" Type="http://schemas.openxmlformats.org/officeDocument/2006/relationships/hyperlink" Target="http://www.nevo.co.il/case/2247490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2022-01-20T13:11:00Z</dcterms:created>
  <dc:creator> </dc:creator>
  <dc:description/>
  <cp:keywords/>
  <dc:language>en-IL</dc:language>
  <cp:lastModifiedBy>h1</cp:lastModifiedBy>
  <dcterms:modified xsi:type="dcterms:W3CDTF">2022-01-20T13:11:00Z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תאופיק גרבאן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5612802;5770174;25824863;6030667;5678169;5571029;23520565;26329702;25274404;18654019;22006497;20430393;21478832;22919929;24966889;5590183;24493107;6102366;6002494;2247490:2</vt:lpwstr>
  </property>
  <property fmtid="{D5CDD505-2E9C-101B-9397-08002B2CF9AE}" pid="9" name="CITY">
    <vt:lpwstr>חי'</vt:lpwstr>
  </property>
  <property fmtid="{D5CDD505-2E9C-101B-9397-08002B2CF9AE}" pid="10" name="DATE">
    <vt:lpwstr>20210705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אליקים;תמר נאות פרי;רונית בש</vt:lpwstr>
  </property>
  <property fmtid="{D5CDD505-2E9C-101B-9397-08002B2CF9AE}" pid="14" name="LAWLISTTMP1">
    <vt:lpwstr>70301/298:2;029:3;329.a.1;329.a.2;144.b;040b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33100</vt:lpwstr>
  </property>
  <property fmtid="{D5CDD505-2E9C-101B-9397-08002B2CF9AE}" pid="22" name="NEWPARTB">
    <vt:lpwstr>10</vt:lpwstr>
  </property>
  <property fmtid="{D5CDD505-2E9C-101B-9397-08002B2CF9AE}" pid="23" name="NEWPARTC">
    <vt:lpwstr>18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390020210705</vt:lpwstr>
  </property>
  <property fmtid="{D5CDD505-2E9C-101B-9397-08002B2CF9AE}" pid="34" name="TYPE_N_DATE">
    <vt:lpwstr>39020210705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