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33467-05-10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אלצאנע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71"/>
        <w:gridCol w:w="3676"/>
      </w:tblGrid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רות לורך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צבי דותן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עירית וינברג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נוטוביץ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LastJudge"/>
      <w:bookmarkStart w:id="1" w:name="FirstAppellant"/>
      <w:bookmarkStart w:id="2" w:name="LastJudge"/>
      <w:bookmarkStart w:id="3" w:name="FirstAppellant"/>
      <w:bookmarkEnd w:id="2"/>
      <w:bookmarkEnd w:id="3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סילמן אלצאנע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4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קרן וקסלר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אבי כהן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הובא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#3#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Style w:val="LineNumber"/>
          <w:rFonts w:ascii="FrankRuehl" w:hAnsi="FrankRuehl" w:cs="FrankRuehl"/>
          <w:rtl w:val="true"/>
        </w:rPr>
        <w:t>חקיקה שאוזכרה</w:t>
      </w:r>
      <w:r>
        <w:rPr>
          <w:rStyle w:val="LineNumber"/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Style w:val="LineNumber"/>
          <w:rFonts w:cs="FrankRuehl" w:ascii="FrankRuehl" w:hAnsi="FrankRuehl"/>
          <w:rtl w:val="true"/>
        </w:rPr>
        <w:t xml:space="preserve">: </w:t>
      </w:r>
      <w:r>
        <w:rPr>
          <w:rStyle w:val="LineNumber"/>
          <w:rFonts w:ascii="FrankRuehl" w:hAnsi="FrankRuehl" w:cs="FrankRuehl"/>
          <w:rtl w:val="true"/>
        </w:rPr>
        <w:t>סע</w:t>
      </w:r>
      <w:r>
        <w:rPr>
          <w:rStyle w:val="LineNumber"/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Style w:val="LineNumber"/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LineNumber"/>
          <w:rFonts w:ascii="FrankRuehl" w:hAnsi="FrankRuehl" w:cs="FrankRuehl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ascii="FrankRuehl" w:hAnsi="FrankRuehl" w:cs="FrankRuehl"/>
          <w:sz w:val="6"/>
          <w:szCs w:val="6"/>
        </w:rPr>
      </w:pPr>
      <w:r>
        <w:rPr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Style w:val="LineNumber"/>
          <w:rFonts w:ascii="Arial" w:hAnsi="Arial" w:cs="Arial"/>
          <w:sz w:val="30"/>
          <w:szCs w:val="30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30"/>
          <w:sz w:val="30"/>
          <w:szCs w:val="30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cs="Arial" w:ascii="Arial" w:hAnsi="Arial"/>
          <w:b/>
          <w:bCs/>
          <w:sz w:val="30"/>
          <w:szCs w:val="30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1</w:t>
      </w:r>
      <w:r>
        <w:rPr>
          <w:rFonts w:cs="Arial" w:ascii="Arial" w:hAnsi="Arial"/>
          <w:b/>
          <w:rtl w:val="true"/>
        </w:rPr>
        <w:t>.</w:t>
        <w:tab/>
      </w:r>
      <w:bookmarkStart w:id="11" w:name="ABSTRACT_START"/>
      <w:bookmarkEnd w:id="11"/>
      <w:r>
        <w:rPr>
          <w:rFonts w:ascii="Arial" w:hAnsi="Arial" w:cs="Arial"/>
          <w:b/>
          <w:b/>
          <w:rtl w:val="true"/>
        </w:rPr>
        <w:t>הנאשם הורשע על פי הודאתו בעובדות כתב האישום המתוקן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בעבירה של חבלה חמורה בכוונה מחמירה לפי סעיף </w:t>
      </w:r>
      <w:hyperlink r:id="rId6">
        <w:r>
          <w:rPr>
            <w:rStyle w:val="Hyperlink"/>
            <w:rFonts w:cs="Arial" w:ascii="Arial" w:hAnsi="Arial"/>
            <w:b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ל</w:t>
      </w:r>
      <w:hyperlink r:id="rId7">
        <w:r>
          <w:rPr>
            <w:rStyle w:val="Hyperlink"/>
            <w:rFonts w:ascii="Arial" w:hAnsi="Arial" w:cs="Arial"/>
            <w:b/>
            <w:b/>
            <w:rtl w:val="true"/>
          </w:rPr>
          <w:t>חוק העונשין</w:t>
        </w:r>
      </w:hyperlink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תשל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ז – </w:t>
      </w:r>
      <w:r>
        <w:rPr>
          <w:rFonts w:cs="Arial" w:ascii="Arial" w:hAnsi="Arial"/>
          <w:b/>
        </w:rPr>
        <w:t>1977</w:t>
      </w:r>
      <w:r>
        <w:rPr>
          <w:rFonts w:cs="Arial" w:ascii="Arial" w:hAnsi="Arial"/>
          <w:b/>
          <w:rtl w:val="true"/>
        </w:rPr>
        <w:t xml:space="preserve"> (</w:t>
      </w:r>
      <w:r>
        <w:rPr>
          <w:rFonts w:ascii="Arial" w:hAnsi="Arial" w:cs="Arial"/>
          <w:b/>
          <w:b/>
          <w:rtl w:val="true"/>
        </w:rPr>
        <w:t>להלן</w:t>
      </w:r>
      <w:r>
        <w:rPr>
          <w:rFonts w:cs="Arial" w:ascii="Arial" w:hAnsi="Arial"/>
          <w:b/>
          <w:rtl w:val="true"/>
        </w:rPr>
        <w:t xml:space="preserve">: </w:t>
      </w: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החוק</w:t>
      </w:r>
      <w:r>
        <w:rPr>
          <w:rFonts w:cs="Arial" w:ascii="Arial" w:hAnsi="Arial"/>
          <w:b/>
          <w:rtl w:val="true"/>
        </w:rPr>
        <w:t xml:space="preserve">") </w:t>
      </w:r>
      <w:r>
        <w:rPr>
          <w:rFonts w:ascii="Arial" w:hAnsi="Arial" w:cs="Arial"/>
          <w:b/>
          <w:b/>
          <w:rtl w:val="true"/>
        </w:rPr>
        <w:t xml:space="preserve">ובעבירה של נשיאת נשק לפי </w:t>
      </w:r>
      <w:hyperlink r:id="rId8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לחוק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ההודאה נעשתה במסגרת הסדר טיעון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לפיו תוקן כתב האישום המקורי אך לא הושגה הסכמה עונשית</w:t>
      </w:r>
      <w:r>
        <w:rPr>
          <w:rFonts w:cs="Arial" w:ascii="Arial" w:hAnsi="Arial"/>
          <w:b/>
          <w:rtl w:val="true"/>
        </w:rPr>
        <w:t xml:space="preserve">. </w:t>
      </w:r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2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>א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 xml:space="preserve">ניהאד סאמר הינה אחותו של הנאשם </w:t>
      </w:r>
      <w:r>
        <w:rPr>
          <w:rFonts w:cs="Arial" w:ascii="Arial" w:hAnsi="Arial"/>
          <w:bCs/>
          <w:rtl w:val="true"/>
        </w:rPr>
        <w:t>(</w:t>
      </w:r>
      <w:r>
        <w:rPr>
          <w:rFonts w:ascii="Arial" w:hAnsi="Arial" w:cs="Arial"/>
          <w:b/>
          <w:b/>
          <w:rtl w:val="true"/>
        </w:rPr>
        <w:t>להלן</w:t>
      </w:r>
      <w:r>
        <w:rPr>
          <w:rFonts w:cs="Arial" w:ascii="Arial" w:hAnsi="Arial"/>
          <w:bCs/>
          <w:rtl w:val="true"/>
        </w:rPr>
        <w:t xml:space="preserve">:" </w:t>
      </w:r>
      <w:r>
        <w:rPr>
          <w:rFonts w:ascii="Arial" w:hAnsi="Arial" w:cs="Arial"/>
          <w:bCs/>
          <w:rtl w:val="true"/>
        </w:rPr>
        <w:t>סאמר</w:t>
      </w:r>
      <w:r>
        <w:rPr>
          <w:rFonts w:cs="Arial" w:ascii="Arial" w:hAnsi="Arial"/>
          <w:bCs/>
          <w:rtl w:val="true"/>
        </w:rPr>
        <w:t>")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 xml:space="preserve">ובתקופה הרלוונטית לכתב   </w:t>
      </w:r>
    </w:p>
    <w:p>
      <w:pPr>
        <w:pStyle w:val="Normal"/>
        <w:spacing w:lineRule="auto" w:line="360"/>
        <w:ind w:firstLine="720"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האישום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הם היו מסוכסכים ביניהם </w:t>
      </w:r>
      <w:r>
        <w:rPr>
          <w:rFonts w:cs="Arial" w:ascii="Arial" w:hAnsi="Arial"/>
          <w:bCs/>
          <w:rtl w:val="true"/>
        </w:rPr>
        <w:t>(</w:t>
      </w:r>
      <w:r>
        <w:rPr>
          <w:rFonts w:ascii="Arial" w:hAnsi="Arial" w:cs="Arial"/>
          <w:b/>
          <w:b/>
          <w:rtl w:val="true"/>
        </w:rPr>
        <w:t>להלן</w:t>
      </w:r>
      <w:r>
        <w:rPr>
          <w:rFonts w:cs="Arial" w:ascii="Arial" w:hAnsi="Arial"/>
          <w:bCs/>
          <w:rtl w:val="true"/>
        </w:rPr>
        <w:t>: "</w:t>
      </w:r>
      <w:r>
        <w:rPr>
          <w:rFonts w:ascii="Arial" w:hAnsi="Arial" w:cs="Arial"/>
          <w:bCs/>
          <w:rtl w:val="true"/>
        </w:rPr>
        <w:t>הסכסוך</w:t>
      </w:r>
      <w:r>
        <w:rPr>
          <w:rFonts w:cs="Arial" w:ascii="Arial" w:hAnsi="Arial"/>
          <w:bCs/>
          <w:rtl w:val="true"/>
        </w:rPr>
        <w:t>").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b/>
          <w:rtl w:val="true"/>
        </w:rPr>
        <w:t>ב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 xml:space="preserve">ביום </w:t>
      </w:r>
      <w:r>
        <w:rPr>
          <w:rFonts w:cs="Arial" w:ascii="Arial" w:hAnsi="Arial"/>
          <w:b/>
        </w:rPr>
        <w:t>8.5.2010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 xml:space="preserve">בשעה </w:t>
      </w:r>
      <w:r>
        <w:rPr>
          <w:rFonts w:cs="Arial" w:ascii="Arial" w:hAnsi="Arial"/>
          <w:b/>
        </w:rPr>
        <w:t>21:00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לערך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במסגרת מסיבה שנערכה במתחם בית משפחת הנאשם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שהתה סאמר יחד עם חמש נשים נוספות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קרובות משפחתה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באחת מחצרות המתחם </w:t>
      </w:r>
      <w:r>
        <w:rPr>
          <w:rFonts w:cs="Arial" w:ascii="Arial" w:hAnsi="Arial"/>
          <w:bCs/>
          <w:rtl w:val="true"/>
        </w:rPr>
        <w:t>(</w:t>
      </w:r>
      <w:r>
        <w:rPr>
          <w:rFonts w:ascii="Arial" w:hAnsi="Arial" w:cs="Arial"/>
          <w:b/>
          <w:b/>
          <w:rtl w:val="true"/>
        </w:rPr>
        <w:t>להלן</w:t>
      </w:r>
      <w:r>
        <w:rPr>
          <w:rFonts w:cs="Arial" w:ascii="Arial" w:hAnsi="Arial"/>
          <w:b/>
          <w:rtl w:val="true"/>
        </w:rPr>
        <w:t>:</w:t>
      </w:r>
      <w:r>
        <w:rPr>
          <w:rFonts w:cs="Arial" w:ascii="Arial" w:hAnsi="Arial"/>
          <w:bCs/>
          <w:rtl w:val="true"/>
        </w:rPr>
        <w:t xml:space="preserve"> "</w:t>
      </w:r>
      <w:r>
        <w:rPr>
          <w:rFonts w:ascii="Arial" w:hAnsi="Arial" w:cs="Arial"/>
          <w:bCs/>
          <w:rtl w:val="true"/>
        </w:rPr>
        <w:t>החצר</w:t>
      </w:r>
      <w:r>
        <w:rPr>
          <w:rFonts w:cs="Arial" w:ascii="Arial" w:hAnsi="Arial"/>
          <w:bCs/>
          <w:rtl w:val="true"/>
        </w:rPr>
        <w:t>")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כשהיא מחזיקה את בתה הקטינה על ידיה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ג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>במסגרת הסכסוך הצטייד הנאשם באקדח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נכנס אל החצר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נעמד  מאחורי גבה של סאמר כשהוא נושא את האקדח וירה בה מקרוב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בגבה השמאלי העליון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שני כדורים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בכוונה להטיל בה נכות או מום ולגרום לה חבלה חמורה </w:t>
      </w:r>
      <w:r>
        <w:rPr>
          <w:rFonts w:cs="Arial" w:ascii="Arial" w:hAnsi="Arial"/>
          <w:bCs/>
          <w:rtl w:val="true"/>
        </w:rPr>
        <w:t>(</w:t>
      </w:r>
      <w:r>
        <w:rPr>
          <w:rFonts w:ascii="Arial" w:hAnsi="Arial" w:cs="Arial"/>
          <w:b/>
          <w:b/>
          <w:rtl w:val="true"/>
        </w:rPr>
        <w:t>להלן</w:t>
      </w:r>
      <w:r>
        <w:rPr>
          <w:rFonts w:cs="Arial" w:ascii="Arial" w:hAnsi="Arial"/>
          <w:bCs/>
          <w:rtl w:val="true"/>
        </w:rPr>
        <w:t>: "</w:t>
      </w:r>
      <w:r>
        <w:rPr>
          <w:rFonts w:ascii="Arial" w:hAnsi="Arial" w:cs="Arial"/>
          <w:bCs/>
          <w:rtl w:val="true"/>
        </w:rPr>
        <w:t>הירי</w:t>
      </w:r>
      <w:r>
        <w:rPr>
          <w:rFonts w:cs="Arial" w:ascii="Arial" w:hAnsi="Arial"/>
          <w:bCs/>
          <w:rtl w:val="true"/>
        </w:rPr>
        <w:t>").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ד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>כתוצאה מהירי סאמר התמוטטה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הובהלה לבית החולים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הועברה בדחיפות לחדר ניתוח ונכרתו מגופה הטחול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חלקים מהמעי הגס ומהמעי הדק וכן נצפו כ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cs="Arial" w:ascii="Arial" w:hAnsi="Arial"/>
          <w:b/>
        </w:rPr>
        <w:t>8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חורים  בקיבתה ומס</w:t>
      </w:r>
      <w:r>
        <w:rPr>
          <w:rFonts w:cs="Arial" w:ascii="Arial" w:hAnsi="Arial"/>
          <w:b/>
          <w:rtl w:val="true"/>
        </w:rPr>
        <w:t xml:space="preserve">' </w:t>
      </w:r>
      <w:r>
        <w:rPr>
          <w:rFonts w:ascii="Arial" w:hAnsi="Arial" w:cs="Arial"/>
          <w:b/>
          <w:b/>
          <w:rtl w:val="true"/>
        </w:rPr>
        <w:t>חורים במעי הדק והגס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כמו כן כתוצאה מהירי נגרם לסאמר שבר מרוסק באחת מחוליות עמוד השדרה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בעת הגשת כתב האישום המקורי הייתה סאמר מונשמת ומאושפזת ביחידה לטיפול נמרץ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ללא הכרה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  <w:u w:val="single"/>
          <w:rtl w:val="true"/>
        </w:rPr>
        <w:t>הראיות לעונש</w:t>
      </w:r>
      <w:r>
        <w:rPr>
          <w:rFonts w:cs="Arial" w:ascii="Arial" w:hAnsi="Arial"/>
          <w:b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3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 xml:space="preserve">הנאשם יליד </w:t>
      </w:r>
      <w:r>
        <w:rPr>
          <w:rFonts w:cs="Arial" w:ascii="Arial" w:hAnsi="Arial"/>
          <w:b/>
        </w:rPr>
        <w:t>1981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 xml:space="preserve">מגיליון הרשעותיו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ע</w:t>
      </w:r>
      <w:r>
        <w:rPr>
          <w:rFonts w:cs="Arial" w:ascii="Arial" w:hAnsi="Arial"/>
          <w:b/>
          <w:rtl w:val="true"/>
        </w:rPr>
        <w:t>/</w:t>
      </w:r>
      <w:r>
        <w:rPr>
          <w:rFonts w:cs="Arial" w:ascii="Arial" w:hAnsi="Arial"/>
          <w:b/>
        </w:rPr>
        <w:t>1</w:t>
      </w:r>
      <w:r>
        <w:rPr>
          <w:rFonts w:cs="Arial" w:ascii="Arial" w:hAnsi="Arial"/>
          <w:b/>
          <w:rtl w:val="true"/>
        </w:rPr>
        <w:t xml:space="preserve">) </w:t>
      </w:r>
      <w:r>
        <w:rPr>
          <w:rFonts w:ascii="Arial" w:hAnsi="Arial" w:cs="Arial"/>
          <w:b/>
          <w:b/>
          <w:rtl w:val="true"/>
        </w:rPr>
        <w:t xml:space="preserve">עולה כי צבר לחובתו שלוש הרשעות הכוללות עבירות אלימות שנעברו בשנת </w:t>
      </w:r>
      <w:r>
        <w:rPr>
          <w:rFonts w:cs="Arial" w:ascii="Arial" w:hAnsi="Arial"/>
          <w:b/>
        </w:rPr>
        <w:t>1996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עבירות רכוש משנת </w:t>
      </w:r>
      <w:r>
        <w:rPr>
          <w:rFonts w:cs="Arial" w:ascii="Arial" w:hAnsi="Arial"/>
          <w:b/>
        </w:rPr>
        <w:t>1995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ועבירות סמים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לרבות סחר בסמים והחזקה שלא לצריכה עצמית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שנעברו בשנת </w:t>
      </w:r>
      <w:r>
        <w:rPr>
          <w:rFonts w:cs="Arial" w:ascii="Arial" w:hAnsi="Arial"/>
          <w:b/>
        </w:rPr>
        <w:t>1999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בגינן נדון ל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7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 בפועל שהומתק בערעור ל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6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 xml:space="preserve">שנים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ע</w:t>
      </w:r>
      <w:r>
        <w:rPr>
          <w:rFonts w:cs="Arial" w:ascii="Arial" w:hAnsi="Arial"/>
          <w:b/>
          <w:rtl w:val="true"/>
        </w:rPr>
        <w:t>/</w:t>
      </w:r>
      <w:r>
        <w:rPr>
          <w:rFonts w:cs="Arial" w:ascii="Arial" w:hAnsi="Arial"/>
          <w:b/>
        </w:rPr>
        <w:t>2</w:t>
      </w:r>
      <w:r>
        <w:rPr>
          <w:rFonts w:cs="Arial" w:ascii="Arial" w:hAnsi="Arial"/>
          <w:b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  <w:tab/>
      </w:r>
      <w:r>
        <w:rPr>
          <w:rFonts w:ascii="Arial" w:hAnsi="Arial" w:cs="Arial"/>
          <w:b/>
          <w:b/>
          <w:rtl w:val="true"/>
        </w:rPr>
        <w:t>כמו כן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הוגשו מסמכים רפואיים של סאמר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ע</w:t>
      </w:r>
      <w:r>
        <w:rPr>
          <w:rFonts w:cs="Arial" w:ascii="Arial" w:hAnsi="Arial"/>
          <w:b/>
          <w:rtl w:val="true"/>
        </w:rPr>
        <w:t>/</w:t>
      </w:r>
      <w:r>
        <w:rPr>
          <w:rFonts w:cs="Arial" w:ascii="Arial" w:hAnsi="Arial"/>
          <w:b/>
        </w:rPr>
        <w:t>3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ו</w:t>
      </w:r>
      <w:r>
        <w:rPr>
          <w:rFonts w:cs="Arial" w:ascii="Arial" w:hAnsi="Arial"/>
          <w:b/>
          <w:rtl w:val="true"/>
        </w:rPr>
        <w:t>-</w:t>
      </w:r>
      <w:r>
        <w:rPr>
          <w:rFonts w:ascii="Arial" w:hAnsi="Arial" w:cs="Arial"/>
          <w:b/>
          <w:b/>
          <w:rtl w:val="true"/>
        </w:rPr>
        <w:t>ע</w:t>
      </w:r>
      <w:r>
        <w:rPr>
          <w:rFonts w:cs="Arial" w:ascii="Arial" w:hAnsi="Arial"/>
          <w:b/>
          <w:rtl w:val="true"/>
        </w:rPr>
        <w:t>/</w:t>
      </w:r>
      <w:r>
        <w:rPr>
          <w:rFonts w:cs="Arial" w:ascii="Arial" w:hAnsi="Arial"/>
          <w:b/>
        </w:rPr>
        <w:t>4</w:t>
      </w:r>
      <w:r>
        <w:rPr>
          <w:rFonts w:cs="Arial" w:ascii="Arial" w:hAnsi="Arial"/>
          <w:b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4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>מטעם ההגנה נשמעו עדויותיהן של סאמר ושל אמם של הנאשם וסאמר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u w:val="single"/>
          <w:rtl w:val="true"/>
        </w:rPr>
        <w:t>מעדותה של סאמר</w:t>
      </w:r>
      <w:r>
        <w:rPr>
          <w:rFonts w:ascii="Arial" w:hAnsi="Arial" w:cs="Arial"/>
          <w:b/>
          <w:b/>
          <w:rtl w:val="true"/>
        </w:rPr>
        <w:t xml:space="preserve"> עולה כי בארוע נפצעה פציעה מורכבת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אך מצבה עתה </w:t>
      </w: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בסדר גמור</w:t>
      </w:r>
      <w:r>
        <w:rPr>
          <w:rFonts w:cs="Arial" w:ascii="Arial" w:hAnsi="Arial"/>
          <w:bCs/>
          <w:rtl w:val="true"/>
        </w:rPr>
        <w:t>",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והיא מבקשת רחמים על הנאשם והתחשבות במצבו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 xml:space="preserve">בחקירתה הנגדית ציינה כי היחסים ביניהם לפני הירי </w:t>
      </w: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היו רגילים</w:t>
      </w:r>
      <w:r>
        <w:rPr>
          <w:rFonts w:cs="Arial" w:ascii="Arial" w:hAnsi="Arial"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ואופיינו בבעיות</w:t>
      </w:r>
      <w:r>
        <w:rPr>
          <w:rFonts w:ascii="Arial" w:hAnsi="Arial" w:cs="Arial"/>
          <w:bCs/>
          <w:rtl w:val="true"/>
        </w:rPr>
        <w:t xml:space="preserve"> </w:t>
      </w: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שיש בין אחים</w:t>
      </w:r>
      <w:r>
        <w:rPr>
          <w:rFonts w:cs="Arial" w:ascii="Arial" w:hAnsi="Arial"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מאמרתה במשטרה עולה כי לפני הירי אמרה לאמה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כי חוששת שהנאשם </w:t>
      </w: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יעשה לה משהו</w:t>
      </w:r>
      <w:r>
        <w:rPr>
          <w:rFonts w:cs="Arial" w:ascii="Arial" w:hAnsi="Arial"/>
          <w:bCs/>
          <w:rtl w:val="true"/>
        </w:rPr>
        <w:t>".</w:t>
      </w:r>
      <w:r>
        <w:rPr>
          <w:rFonts w:cs="Arial" w:ascii="Arial" w:hAnsi="Arial"/>
          <w:b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u w:val="single"/>
          <w:rtl w:val="true"/>
        </w:rPr>
        <w:t>האם</w:t>
      </w:r>
      <w:r>
        <w:rPr>
          <w:rFonts w:ascii="Arial" w:hAnsi="Arial" w:cs="Arial"/>
          <w:b/>
          <w:b/>
          <w:rtl w:val="true"/>
        </w:rPr>
        <w:t xml:space="preserve"> העידה כי בנו של הנאשם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כבן שנתיים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נהרג בתאונת דרכים לפני כ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cs="Arial" w:ascii="Arial" w:hAnsi="Arial"/>
          <w:b/>
        </w:rPr>
        <w:t>10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כשהנאשם היה בכלא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כמו כן הנאשם התגרש מאשתו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לאחר שבגדה בו בתקופת מאסרו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אמו ביקשה להתחשב בו ולאפשר לו להתחיל חיים חדשים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באמרתה במשטרה מסרה כי חששה שהנאשם יהרוג את סאמר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הסנגור הגיש דו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ח מד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א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ענ</w:t>
      </w:r>
      <w:r>
        <w:rPr>
          <w:rFonts w:cs="Arial" w:ascii="Arial" w:hAnsi="Arial"/>
          <w:b/>
          <w:rtl w:val="true"/>
        </w:rPr>
        <w:t>/</w:t>
      </w:r>
      <w:r>
        <w:rPr>
          <w:rFonts w:cs="Arial" w:ascii="Arial" w:hAnsi="Arial"/>
          <w:b/>
        </w:rPr>
        <w:t>1</w:t>
      </w:r>
      <w:r>
        <w:rPr>
          <w:rFonts w:cs="Arial" w:ascii="Arial" w:hAnsi="Arial"/>
          <w:b/>
          <w:rtl w:val="true"/>
        </w:rPr>
        <w:t xml:space="preserve">) </w:t>
      </w:r>
      <w:r>
        <w:rPr>
          <w:rFonts w:ascii="Arial" w:hAnsi="Arial" w:cs="Arial"/>
          <w:b/>
          <w:b/>
          <w:rtl w:val="true"/>
        </w:rPr>
        <w:t>ודו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ח ידיעה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ענ</w:t>
      </w:r>
      <w:r>
        <w:rPr>
          <w:rFonts w:cs="Arial" w:ascii="Arial" w:hAnsi="Arial"/>
          <w:b/>
          <w:rtl w:val="true"/>
        </w:rPr>
        <w:t>/</w:t>
      </w:r>
      <w:r>
        <w:rPr>
          <w:rFonts w:cs="Arial" w:ascii="Arial" w:hAnsi="Arial"/>
          <w:b/>
        </w:rPr>
        <w:t>2</w:t>
      </w:r>
      <w:r>
        <w:rPr>
          <w:rFonts w:cs="Arial" w:ascii="Arial" w:hAnsi="Arial"/>
          <w:b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5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u w:val="single"/>
          <w:rtl w:val="true"/>
        </w:rPr>
        <w:t>ב</w:t>
      </w:r>
      <w:r>
        <w:rPr>
          <w:rFonts w:cs="Arial" w:ascii="Arial" w:hAnsi="Arial"/>
          <w:b/>
          <w:u w:val="single"/>
          <w:rtl w:val="true"/>
        </w:rPr>
        <w:t>"</w:t>
      </w:r>
      <w:r>
        <w:rPr>
          <w:rFonts w:ascii="Arial" w:hAnsi="Arial" w:cs="Arial"/>
          <w:b/>
          <w:b/>
          <w:u w:val="single"/>
          <w:rtl w:val="true"/>
        </w:rPr>
        <w:t>כ המאשימה</w:t>
      </w:r>
      <w:r>
        <w:rPr>
          <w:rFonts w:ascii="Arial" w:hAnsi="Arial" w:cs="Arial"/>
          <w:b/>
          <w:b/>
          <w:rtl w:val="true"/>
        </w:rPr>
        <w:t xml:space="preserve"> פירט את נסיבות ביצוע העבירה ושיקולי המאשימה בהגיעה אל ההסדר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במסגרתו הומרה עבירה של ניסיון לרצח לעבירה של חבלה בכוונה מחמירה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נטען כי הסיבה העיקרית להסדר הינה הרצון לחסוך את עדויות בנות המשפחה שהיו עדות ראייה לארוע וסירבו להעיד נגדו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ב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כ המאשימה עתר לעונש של מאסר ממושך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דו ספרתי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כשהעונש המירבי הקבוע לצד כל אחת מהעבירות בהן הורשע הנאשם צריך להיות נקודת המוצא  ובשים לב לנסיבות לחומרה ובהן</w:t>
      </w:r>
      <w:r>
        <w:rPr>
          <w:rFonts w:cs="Arial" w:ascii="Arial" w:hAnsi="Arial"/>
          <w:b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eastAsia="Arial"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השימוש בנשק חם כדרך לפתור סכסוכים במשפחה</w:t>
      </w:r>
      <w:r>
        <w:rPr>
          <w:rFonts w:cs="Arial" w:ascii="Arial" w:hAnsi="Arial"/>
          <w:b/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עברו הפלילי של הנאשם שלמרות שריצה מאסר ממושך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לא היה בו כדי להרתיעו</w:t>
      </w:r>
      <w:r>
        <w:rPr>
          <w:rFonts w:cs="Arial" w:ascii="Arial" w:hAnsi="Arial"/>
          <w:b/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הגם שמצבה הבריאותי של סאמר הינו סביר יחסית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אין להתעלם מכך שהייתה סכנה ממשית לחייה ורק בדרך נס הצליחה להתגבר על פציעותיה הקשות ונדרשה לטיפולים קשים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ב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כ המאשימה תמך טיעוניו בפסיקה בה נדונו נאשמים ל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9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שנים מאסר בפועל תוך שביקש לאבחן לחומרא את ענייננו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hanging="746" w:start="746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6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u w:val="single"/>
          <w:rtl w:val="true"/>
        </w:rPr>
        <w:t>ב</w:t>
      </w:r>
      <w:r>
        <w:rPr>
          <w:rFonts w:cs="Arial" w:ascii="Arial" w:hAnsi="Arial"/>
          <w:b/>
          <w:u w:val="single"/>
          <w:rtl w:val="true"/>
        </w:rPr>
        <w:t>"</w:t>
      </w:r>
      <w:r>
        <w:rPr>
          <w:rFonts w:ascii="Arial" w:hAnsi="Arial" w:cs="Arial"/>
          <w:b/>
          <w:b/>
          <w:u w:val="single"/>
          <w:rtl w:val="true"/>
        </w:rPr>
        <w:t>כ הנאשם</w:t>
      </w:r>
      <w:r>
        <w:rPr>
          <w:rFonts w:ascii="Arial" w:hAnsi="Arial" w:cs="Arial"/>
          <w:b/>
          <w:b/>
          <w:rtl w:val="true"/>
        </w:rPr>
        <w:t xml:space="preserve"> ביקש ליתן משקל  לשיקולים הבאים</w:t>
      </w:r>
      <w:r>
        <w:rPr>
          <w:rFonts w:cs="Arial" w:ascii="Arial" w:hAnsi="Arial"/>
          <w:b/>
          <w:rtl w:val="true"/>
        </w:rPr>
        <w:t xml:space="preserve">: </w:t>
      </w:r>
      <w:r>
        <w:rPr>
          <w:rFonts w:ascii="Arial" w:hAnsi="Arial" w:cs="Arial"/>
          <w:b/>
          <w:b/>
          <w:rtl w:val="true"/>
        </w:rPr>
        <w:t>הודיית הנאשם שייתרה את שמיעת הראיות ועדויות בנות המשפחה</w:t>
      </w:r>
      <w:r>
        <w:rPr>
          <w:rFonts w:cs="Arial" w:ascii="Arial" w:hAnsi="Arial"/>
          <w:b/>
          <w:rtl w:val="true"/>
        </w:rPr>
        <w:t>;</w:t>
      </w:r>
    </w:p>
    <w:p>
      <w:pPr>
        <w:pStyle w:val="Normal"/>
        <w:spacing w:lineRule="auto" w:line="360"/>
        <w:ind w:hanging="746" w:start="746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  <w:tab/>
      </w:r>
      <w:r>
        <w:rPr>
          <w:rFonts w:ascii="Arial" w:hAnsi="Arial" w:cs="Arial"/>
          <w:b/>
          <w:b/>
          <w:rtl w:val="true"/>
        </w:rPr>
        <w:t>התיקון בכתב האישום אינו טכני ויש בו כדי להצביע שלא הייתה לנאשם כוונה לגרום למותה של סאמר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 xml:space="preserve">זאת ניתן ללמוד מכך שירה בגבה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ולא בראשה</w:t>
      </w:r>
      <w:r>
        <w:rPr>
          <w:rFonts w:cs="Arial" w:ascii="Arial" w:hAnsi="Arial"/>
          <w:b/>
          <w:rtl w:val="true"/>
        </w:rPr>
        <w:t xml:space="preserve">), </w:t>
      </w:r>
      <w:r>
        <w:rPr>
          <w:rFonts w:ascii="Arial" w:hAnsi="Arial" w:cs="Arial"/>
          <w:b/>
          <w:b/>
          <w:rtl w:val="true"/>
        </w:rPr>
        <w:t>שני כדורים ולא מעבר לכך ומכך שבעת שפונתה לבית החולים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היתה בהכרה מלאה עם דופק סביר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כעולה מדו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ח מד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א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ענ</w:t>
      </w:r>
      <w:r>
        <w:rPr>
          <w:rFonts w:cs="Arial" w:ascii="Arial" w:hAnsi="Arial"/>
          <w:b/>
          <w:rtl w:val="true"/>
        </w:rPr>
        <w:t>/</w:t>
      </w:r>
      <w:r>
        <w:rPr>
          <w:rFonts w:cs="Arial" w:ascii="Arial" w:hAnsi="Arial"/>
          <w:b/>
        </w:rPr>
        <w:t>1</w:t>
      </w:r>
      <w:r>
        <w:rPr>
          <w:rFonts w:cs="Arial" w:ascii="Arial" w:hAnsi="Arial"/>
          <w:b/>
          <w:rtl w:val="true"/>
        </w:rPr>
        <w:t>);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בסופו של דבר סאמר התאוששה מהפציעה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לא נגרמה לה נכות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היא מתפקדת באופן סביר ואינה זקוקה לניתוחים נוספים</w:t>
      </w:r>
      <w:r>
        <w:rPr>
          <w:rFonts w:cs="Arial" w:ascii="Arial" w:hAnsi="Arial"/>
          <w:b/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נסיבותיו האישיות הקשות של הנאשם וביניהן מות בנו בתאונה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שהשפיע על מצבו הנפשי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שהלך והתדרדר</w:t>
      </w:r>
      <w:r>
        <w:rPr>
          <w:rFonts w:cs="Arial" w:ascii="Arial" w:hAnsi="Arial"/>
          <w:b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הסנגור הפנה לדו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ח ידיעה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ענ</w:t>
      </w:r>
      <w:r>
        <w:rPr>
          <w:rFonts w:cs="Arial" w:ascii="Arial" w:hAnsi="Arial"/>
          <w:b/>
          <w:rtl w:val="true"/>
        </w:rPr>
        <w:t>/</w:t>
      </w:r>
      <w:r>
        <w:rPr>
          <w:rFonts w:cs="Arial" w:ascii="Arial" w:hAnsi="Arial"/>
          <w:b/>
        </w:rPr>
        <w:t>2</w:t>
      </w:r>
      <w:r>
        <w:rPr>
          <w:rFonts w:cs="Arial" w:ascii="Arial" w:hAnsi="Arial"/>
          <w:b/>
          <w:rtl w:val="true"/>
        </w:rPr>
        <w:t xml:space="preserve">), </w:t>
      </w:r>
      <w:r>
        <w:rPr>
          <w:rFonts w:ascii="Arial" w:hAnsi="Arial" w:cs="Arial"/>
          <w:b/>
          <w:b/>
          <w:rtl w:val="true"/>
        </w:rPr>
        <w:t>ממנו עולה מידע מודיעיני אותו ביקש לזקוף לזכות הנאשם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 xml:space="preserve">הסנגור עתר להשית על הנאשם מאסר לתקופה שלא תעלה על </w:t>
      </w:r>
      <w:r>
        <w:rPr>
          <w:rFonts w:cs="Arial" w:ascii="Arial" w:hAnsi="Arial"/>
          <w:b/>
        </w:rPr>
        <w:t>4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שנות מאסר בפועל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מאסר על תנאי ופיצוי מסוים למתלוננת כשהנאשם מוכן לפצותה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ב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כ הנאשם תמך טיעוניו בפסיקה בה הוטלו עונשי מאסר בפועל הנעים בין </w:t>
      </w:r>
      <w:r>
        <w:rPr>
          <w:rFonts w:cs="Arial" w:ascii="Arial" w:hAnsi="Arial"/>
          <w:b/>
        </w:rPr>
        <w:t>18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חודשים ל</w:t>
      </w:r>
      <w:r>
        <w:rPr>
          <w:rFonts w:cs="Arial" w:ascii="Arial" w:hAnsi="Arial"/>
          <w:b/>
          <w:rtl w:val="true"/>
        </w:rPr>
        <w:t xml:space="preserve">- </w:t>
      </w:r>
      <w:r>
        <w:rPr>
          <w:rFonts w:cs="Arial" w:ascii="Arial" w:hAnsi="Arial"/>
          <w:b/>
        </w:rPr>
        <w:t>7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בעבירה לפי </w:t>
      </w:r>
      <w:hyperlink r:id="rId9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b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לחוק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הנאשם ביקש את סליחת אחותו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Cs/>
          <w:u w:val="single"/>
        </w:rPr>
      </w:pPr>
      <w:r>
        <w:rPr>
          <w:rFonts w:cs="Arial" w:ascii="Arial" w:hAnsi="Arial"/>
          <w:b/>
        </w:rPr>
        <w:t>7</w:t>
      </w:r>
      <w:r>
        <w:rPr>
          <w:rFonts w:cs="Arial" w:ascii="Arial" w:hAnsi="Arial"/>
          <w:b/>
          <w:rtl w:val="true"/>
        </w:rPr>
        <w:t xml:space="preserve">. </w:t>
        <w:tab/>
      </w:r>
      <w:r>
        <w:rPr>
          <w:rFonts w:ascii="Arial" w:hAnsi="Arial" w:cs="Arial"/>
          <w:bCs/>
          <w:u w:val="single"/>
          <w:rtl w:val="true"/>
        </w:rPr>
        <w:t>שקלנו לחומרא לנאשם</w:t>
      </w:r>
      <w:r>
        <w:rPr>
          <w:rFonts w:cs="Arial" w:ascii="Arial" w:hAnsi="Arial"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א</w:t>
      </w:r>
      <w:r>
        <w:rPr>
          <w:rFonts w:cs="Arial" w:ascii="Arial" w:hAnsi="Arial"/>
          <w:b/>
          <w:rtl w:val="true"/>
        </w:rPr>
        <w:t xml:space="preserve">. </w:t>
        <w:tab/>
      </w:r>
      <w:r>
        <w:rPr>
          <w:rFonts w:ascii="Arial" w:hAnsi="Arial" w:cs="Arial"/>
          <w:b/>
          <w:b/>
          <w:rtl w:val="true"/>
        </w:rPr>
        <w:t>מעשיו של הנאשם חמורים וקשים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הנאשם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שהיה מסוכסך עם אחותו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הצטייד מבעוד מועד בנשק טעון כדורים שנשא בו שלא כדין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הגיע למקום בו הייתה ובנוכחות בני משפחה רבים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התקרב אליה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כשהיא מחזיקה את בתה הקטינה בידיה וירה בגבה מצד שמאל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מטווח קרוב ביותר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שתי יריות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בקור רוח ובעזות מצח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ניתן לשער את ההמולה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האימה והפחד שהטילו מעשי הנאשם על הנוכחים במקום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מדובר במעשה שיש בו תעוזה רבה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שכן הנאשם לא מהסס לירות באחותו האוחזת בתינוקה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לעיני אנשים המכירים אותו ויכולים לזהותו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ב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>תוצאת המעשים הינה קשה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פציעתה של סאמר והנזקים הגופניים שנגרמו לה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הינם חמורים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כאשר על פי התיעוד הרפואי עברה טיפולים קשים ויש להניח כי תסבול מהם שנים רבות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ג</w:t>
      </w:r>
      <w:r>
        <w:rPr>
          <w:rFonts w:cs="Arial" w:ascii="Arial" w:hAnsi="Arial"/>
          <w:b/>
          <w:rtl w:val="true"/>
        </w:rPr>
        <w:t xml:space="preserve">. </w:t>
        <w:tab/>
      </w:r>
      <w:r>
        <w:rPr>
          <w:rFonts w:ascii="Arial" w:hAnsi="Arial" w:cs="Arial"/>
          <w:b/>
          <w:b/>
          <w:rtl w:val="true"/>
        </w:rPr>
        <w:t>השימוש בנשק חם מצוי ברף העליון של עבירות האלימות כשבענייננו למרבה המזל לא הסתיים האירוע בתוצאה טרגית יותר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ד</w:t>
      </w:r>
      <w:r>
        <w:rPr>
          <w:rFonts w:cs="Arial" w:ascii="Arial" w:hAnsi="Arial"/>
          <w:b/>
          <w:rtl w:val="true"/>
        </w:rPr>
        <w:t xml:space="preserve">. </w:t>
        <w:tab/>
      </w:r>
      <w:r>
        <w:rPr>
          <w:rFonts w:ascii="Arial" w:hAnsi="Arial" w:cs="Arial"/>
          <w:b/>
          <w:b/>
          <w:rtl w:val="true"/>
        </w:rPr>
        <w:t>אין בעובדה שסאמר סלחה לנאשם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כדי להקהות מהחומרה הרבה של מעשה הנאשם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אם כי יש לכך וליחסה של סאמר לנאשם ולמעשיו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משקל מסוים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ה</w:t>
      </w:r>
      <w:r>
        <w:rPr>
          <w:rFonts w:cs="Arial" w:ascii="Arial" w:hAnsi="Arial"/>
          <w:b/>
          <w:rtl w:val="true"/>
        </w:rPr>
        <w:t xml:space="preserve">.  </w:t>
        <w:tab/>
      </w:r>
      <w:r>
        <w:rPr>
          <w:rFonts w:ascii="Arial" w:hAnsi="Arial" w:cs="Arial"/>
          <w:b/>
          <w:b/>
          <w:rtl w:val="true"/>
        </w:rPr>
        <w:t>לנאשם עבר פלילי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אין זו הסתבכותו הראשונה עם החוק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הוא אף ריצה מאסר ממושך בכליאה שלא הרתיעו מלשוב ולבצע עבירות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אף חמורות מאלה שבגינן נידון בעבר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hanging="566" w:start="1286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ו</w:t>
      </w:r>
      <w:r>
        <w:rPr>
          <w:rFonts w:cs="Arial" w:ascii="Arial" w:hAnsi="Arial"/>
          <w:b/>
          <w:rtl w:val="true"/>
        </w:rPr>
        <w:t xml:space="preserve">. </w:t>
        <w:tab/>
      </w:r>
      <w:r>
        <w:rPr>
          <w:rFonts w:ascii="Arial" w:hAnsi="Arial" w:cs="Arial"/>
          <w:b/>
          <w:b/>
          <w:rtl w:val="true"/>
        </w:rPr>
        <w:t>על חומרת העבירות של נשיאה ושימוש בנשק חם והצורך להחמיר בענישה נקבע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למשל 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5753/04</w:t>
        </w:r>
      </w:hyperlink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רייכמן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7.5.05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start="1440" w:end="360"/>
        <w:jc w:val="start"/>
        <w:rPr>
          <w:rFonts w:ascii="Arial" w:hAnsi="Arial" w:cs="Arial"/>
          <w:bCs/>
        </w:rPr>
      </w:pPr>
      <w:r>
        <w:rPr>
          <w:rFonts w:cs="Arial" w:ascii="Arial" w:hAnsi="Arial"/>
          <w:bCs/>
          <w:rtl w:val="true"/>
        </w:rPr>
        <w:t>"</w:t>
      </w:r>
      <w:r>
        <w:rPr>
          <w:rFonts w:ascii="Arial" w:hAnsi="Arial" w:cs="Arial"/>
          <w:bCs/>
          <w:rtl w:val="true"/>
        </w:rPr>
        <w:t>תופעה נוראה זו פשתה בחברתנו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היתה כמחלה ממארת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וחובה היא המוטלת עלינו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על בית המשפט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להעלות תרומתו למלחמה קשה זו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>מלחמה היא שאסור לעשות בה ויתורים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שאם נוותר ונסלח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תתגבר התופעה ותלך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>חברתנו הפכה להיות חברה אלימה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ותרומתו של בית המשפט למלחמה באלימות היא בהטלת עונשים ראויים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>בבואנו לגזור עונשים על עבריינים כמשיב שלפנינו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שומה עלינו לשוות לנגד עינינו לא רק את המשיב ואת צרכי שיקומו</w:t>
      </w:r>
      <w:r>
        <w:rPr>
          <w:rFonts w:cs="Arial" w:ascii="Arial" w:hAnsi="Arial"/>
          <w:bCs/>
          <w:rtl w:val="true"/>
        </w:rPr>
        <w:t xml:space="preserve">; </w:t>
      </w:r>
      <w:r>
        <w:rPr>
          <w:rFonts w:ascii="Arial" w:hAnsi="Arial" w:cs="Arial"/>
          <w:bCs/>
          <w:rtl w:val="true"/>
        </w:rPr>
        <w:t>לא רק את משפחתו הסובלת בשל מעשיו</w:t>
      </w:r>
      <w:r>
        <w:rPr>
          <w:rFonts w:cs="Arial" w:ascii="Arial" w:hAnsi="Arial"/>
          <w:bCs/>
          <w:rtl w:val="true"/>
        </w:rPr>
        <w:t xml:space="preserve">; </w:t>
      </w:r>
      <w:r>
        <w:rPr>
          <w:rFonts w:ascii="Arial" w:hAnsi="Arial" w:cs="Arial"/>
          <w:bCs/>
          <w:rtl w:val="true"/>
        </w:rPr>
        <w:t>אלא גם את הנפגעים ממעשיו של המשיב ואת הנפגעים ממעשים</w:t>
      </w:r>
      <w:r>
        <w:rPr>
          <w:rFonts w:cs="Arial" w:ascii="Arial" w:hAnsi="Arial"/>
          <w:bCs/>
          <w:rtl w:val="true"/>
        </w:rPr>
        <w:t xml:space="preserve">- </w:t>
      </w:r>
      <w:r>
        <w:rPr>
          <w:rFonts w:ascii="Arial" w:hAnsi="Arial" w:cs="Arial"/>
          <w:bCs/>
          <w:rtl w:val="true"/>
        </w:rPr>
        <w:t>בכוח שייעשו אם לא נגיב בחומרה על מעשים כמעשה המשיב</w:t>
      </w:r>
      <w:r>
        <w:rPr>
          <w:rFonts w:cs="Arial" w:ascii="Arial" w:hAnsi="Arial"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  <w:rtl w:val="true"/>
        </w:rPr>
        <w:tab/>
      </w:r>
      <w:r>
        <w:rPr>
          <w:rFonts w:ascii="Arial" w:hAnsi="Arial" w:cs="Arial"/>
          <w:bCs/>
          <w:rtl w:val="true"/>
        </w:rPr>
        <w:t>ראשית לכל נזכור את יסוד הגמול שבענישה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>אדם העושה מעשה רע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מעשה הפורע סידרי חברה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חייב לדעת כי החברה תשיב לו כגמולו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>מעשה רע ייגמל בעונש קשה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מעשה רע מאוד ייגמל בעונש קשה מאוד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>כך הוא אף באשר להרתעה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הרתעת היחיד והרתעת הרבים</w:t>
      </w:r>
      <w:r>
        <w:rPr>
          <w:rFonts w:cs="Arial" w:ascii="Arial" w:hAnsi="Arial"/>
          <w:bCs/>
          <w:rtl w:val="true"/>
        </w:rPr>
        <w:t xml:space="preserve">. </w:t>
      </w:r>
      <w:r>
        <w:rPr>
          <w:rFonts w:ascii="Arial" w:hAnsi="Arial" w:cs="Arial"/>
          <w:bCs/>
          <w:rtl w:val="true"/>
        </w:rPr>
        <w:t>יד קלה על סכין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אצבע קלה על ההדק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כף יד קלה על רימון יד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כל אלה ייענשו בחומרה להרתעת היחיד והרבים</w:t>
      </w:r>
      <w:r>
        <w:rPr>
          <w:rFonts w:cs="Arial" w:ascii="Arial" w:hAnsi="Arial"/>
          <w:bCs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6163/09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קיאל קשאש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1/12/09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1286" w:start="1440" w:end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  <w:rtl w:val="true"/>
        </w:rPr>
        <w:tab/>
        <w:t>"</w:t>
      </w:r>
      <w:r>
        <w:rPr>
          <w:rFonts w:ascii="Arial" w:hAnsi="Arial" w:cs="Arial"/>
          <w:bCs/>
          <w:rtl w:val="true"/>
        </w:rPr>
        <w:t>אפשר להוסיף לכך את מה שמלמדנו השכל הישר אל נכון</w:t>
      </w:r>
      <w:r>
        <w:rPr>
          <w:rFonts w:cs="Arial" w:ascii="Arial" w:hAnsi="Arial"/>
          <w:bCs/>
          <w:rtl w:val="true"/>
        </w:rPr>
        <w:t xml:space="preserve">;  </w:t>
      </w:r>
      <w:r>
        <w:rPr>
          <w:rFonts w:ascii="Arial" w:hAnsi="Arial" w:cs="Arial"/>
          <w:bCs/>
          <w:rtl w:val="true"/>
        </w:rPr>
        <w:t>פשיטא כי סכין מסוכן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ואין חולק כי מסוכן הוא</w:t>
      </w:r>
      <w:r>
        <w:rPr>
          <w:rFonts w:cs="Arial" w:ascii="Arial" w:hAnsi="Arial"/>
          <w:bCs/>
          <w:rtl w:val="true"/>
        </w:rPr>
        <w:t xml:space="preserve">; </w:t>
      </w:r>
      <w:r>
        <w:rPr>
          <w:rFonts w:ascii="Arial" w:hAnsi="Arial" w:cs="Arial"/>
          <w:bCs/>
          <w:rtl w:val="true"/>
        </w:rPr>
        <w:t>נשק חם מסוכן הימנו שכן פגיעתו עלולה להיות רעה עוד יותר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ובאופן משמעותי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תוך סיכון לעוברים ושבים</w:t>
      </w:r>
      <w:r>
        <w:rPr>
          <w:rFonts w:cs="Arial" w:ascii="Arial" w:hAnsi="Arial"/>
          <w:bCs/>
          <w:rtl w:val="true"/>
        </w:rPr>
        <w:t>...</w:t>
      </w:r>
      <w:r>
        <w:rPr>
          <w:rFonts w:ascii="Arial" w:hAnsi="Arial" w:cs="Arial"/>
          <w:bCs/>
          <w:rtl w:val="true"/>
        </w:rPr>
        <w:t>על כן על בתי המשפט לאותת בהתמדה שאט נפש שיפוטי מעבירות בנשק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על ידי ענישה מחמירה</w:t>
      </w:r>
      <w:r>
        <w:rPr>
          <w:rFonts w:cs="Arial" w:ascii="Arial" w:hAnsi="Arial"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ז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1552/08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פרטוש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 xml:space="preserve">ניתן ביום </w:t>
      </w:r>
      <w:r>
        <w:rPr>
          <w:rFonts w:cs="Arial" w:ascii="Arial" w:hAnsi="Arial"/>
          <w:b/>
        </w:rPr>
        <w:t>29/10/08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נקבע כי רף הענישה המקובל בעבירות של גרימת חבלה בכוונה מחמירה נע בין חמש וחצי שנות מאסר לבין תשע שנות מאסר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עוד נקבע כי קיימת מגמה עקבית להחמרה בענישה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תוך הפנייה לאסמכתאות במקרים בהם החבלה נעשתה תוך שימוש בסכין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בעוד שבענייננו מדובר בשימוש בנשק חם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המחייב החמרה נוספת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עם זאת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עתירת המאשימה לעונש מאסר 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דו ספרתי</w:t>
      </w:r>
      <w:r>
        <w:rPr>
          <w:rFonts w:cs="Arial" w:ascii="Arial" w:hAnsi="Arial"/>
          <w:b/>
          <w:rtl w:val="true"/>
        </w:rPr>
        <w:t xml:space="preserve">", </w:t>
      </w:r>
      <w:r>
        <w:rPr>
          <w:rFonts w:ascii="Arial" w:hAnsi="Arial" w:cs="Arial"/>
          <w:b/>
          <w:b/>
          <w:rtl w:val="true"/>
        </w:rPr>
        <w:t>אינה מעוגנת ברף הענישה הנוהג וב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כ המאשימה התקשה להציג פסיקה מתאימה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מנגד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עתירת הסנגור להסתפק במאסר בן ארבע שנים אינה עומדת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אף היא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ברף הענישה הנוהג ובנסיבות החמורות דנן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8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Cs/>
          <w:u w:val="single"/>
          <w:rtl w:val="true"/>
        </w:rPr>
        <w:t>לקולא שקלנו לנאשם</w:t>
      </w:r>
      <w:r>
        <w:rPr>
          <w:rFonts w:cs="Arial" w:ascii="Arial" w:hAnsi="Arial"/>
          <w:b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א</w:t>
      </w:r>
      <w:r>
        <w:rPr>
          <w:rFonts w:cs="Arial" w:ascii="Arial" w:hAnsi="Arial"/>
          <w:b/>
          <w:rtl w:val="true"/>
        </w:rPr>
        <w:t xml:space="preserve">. </w:t>
        <w:tab/>
      </w:r>
      <w:r>
        <w:rPr>
          <w:rFonts w:ascii="Arial" w:hAnsi="Arial" w:cs="Arial"/>
          <w:b/>
          <w:b/>
          <w:rtl w:val="true"/>
        </w:rPr>
        <w:t>הנאשם הודה וביקש את סליחתה של סאמר</w:t>
      </w:r>
      <w:r>
        <w:rPr>
          <w:rFonts w:cs="Arial" w:ascii="Arial" w:hAnsi="Arial"/>
          <w:b/>
          <w:rtl w:val="true"/>
        </w:rPr>
        <w:t xml:space="preserve">. </w:t>
      </w:r>
      <w:r>
        <w:rPr>
          <w:rFonts w:ascii="Arial" w:hAnsi="Arial" w:cs="Arial"/>
          <w:b/>
          <w:b/>
          <w:rtl w:val="true"/>
        </w:rPr>
        <w:t>הודאתו הביאה לחסכון בעדות בנות משפחתו שהיו עדות לארוע וסרבו להגיע לבית המשפט ולהעיד נגדו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ב</w:t>
      </w:r>
      <w:r>
        <w:rPr>
          <w:rFonts w:cs="Arial" w:ascii="Arial" w:hAnsi="Arial"/>
          <w:b/>
          <w:rtl w:val="true"/>
        </w:rPr>
        <w:t xml:space="preserve">. </w:t>
        <w:tab/>
      </w:r>
      <w:r>
        <w:rPr>
          <w:rFonts w:ascii="Arial" w:hAnsi="Arial" w:cs="Arial"/>
          <w:b/>
          <w:b/>
          <w:rtl w:val="true"/>
        </w:rPr>
        <w:t>מבלי לגרוע מחומרת המעשים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הנאשם לא המשיך במעשיו 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ועצר</w:t>
      </w:r>
      <w:r>
        <w:rPr>
          <w:rFonts w:cs="Arial" w:ascii="Arial" w:hAnsi="Arial"/>
          <w:b/>
          <w:rtl w:val="true"/>
        </w:rPr>
        <w:t xml:space="preserve">" </w:t>
      </w:r>
      <w:r>
        <w:rPr>
          <w:rFonts w:ascii="Arial" w:hAnsi="Arial" w:cs="Arial"/>
          <w:b/>
          <w:b/>
          <w:rtl w:val="true"/>
        </w:rPr>
        <w:t>לאחר שתי יריות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כשסאמר עוד הייתה בהכרה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ג</w:t>
      </w:r>
      <w:r>
        <w:rPr>
          <w:rFonts w:cs="Arial" w:ascii="Arial" w:hAnsi="Arial"/>
          <w:b/>
          <w:rtl w:val="true"/>
        </w:rPr>
        <w:t xml:space="preserve">. </w:t>
        <w:tab/>
      </w:r>
      <w:r>
        <w:rPr>
          <w:rFonts w:ascii="Arial" w:hAnsi="Arial" w:cs="Arial"/>
          <w:b/>
          <w:b/>
          <w:rtl w:val="true"/>
        </w:rPr>
        <w:t>שיקומה הבריאותי של סאמר וחזרתה לתיפקוד וכן עמדתה כפי שהובעה בפנינו ובקשתה להתחשב בנאשם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הינם בעלי משקל מסויים לענין העונש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עוד שקלנו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את נסיבותיו האישיות של הנאשם ובעיקר הטרגדיה האישית שפקדה  אותו במות בנו בתאונה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  <w:rtl w:val="true"/>
        </w:rPr>
        <w:t>ההכרעה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</w:rPr>
        <w:t>9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>לאחר בחינת השיקולים השונים ואיזון ביניהם שוכנענו כי יש להטיל על הנאשם עונש חמור באופן משמעותי מהעונש לו עותרת ההגנה שכן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היענות לעתירת ההגנה תעביר מסר מקל ותחטיא למטרות הענישה הרלוונטיות לענייננו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עם זאת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לא מצאנו כי התקיימו נסיבות המצדיקות היענות לעתירת המאשימה לעונש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כשאף ב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כ המאשימה לא יכול היה לתמוך טיעוניו בפסיקה מתאימה</w:t>
      </w:r>
      <w:r>
        <w:rPr>
          <w:rFonts w:cs="Arial" w:ascii="Arial" w:hAnsi="Arial"/>
          <w:b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10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>לפיכך אנו גוזרים על הנאשם את העונשים הבאים</w:t>
      </w:r>
      <w:r>
        <w:rPr>
          <w:rFonts w:cs="Arial" w:ascii="Arial" w:hAnsi="Arial"/>
          <w:b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26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 xml:space="preserve">מאסר בפועל למשך </w:t>
      </w:r>
      <w:r>
        <w:rPr>
          <w:rFonts w:cs="Arial" w:ascii="Arial" w:hAnsi="Arial"/>
          <w:b/>
        </w:rPr>
        <w:t>8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 xml:space="preserve">שנים שיחל מיום מעצרו ביום </w:t>
      </w:r>
      <w:r>
        <w:rPr>
          <w:rFonts w:cs="Arial" w:ascii="Arial" w:hAnsi="Arial"/>
          <w:b/>
        </w:rPr>
        <w:t>9/5/10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26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12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חודשים מאסר על תנאי והתנאי הוא שלא יעבור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תוך </w:t>
      </w:r>
      <w:r>
        <w:rPr>
          <w:rFonts w:cs="Arial" w:ascii="Arial" w:hAnsi="Arial"/>
          <w:b/>
        </w:rPr>
        <w:t>3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שנים מיום שחרורו מהמאסר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עבירות אלימות כנגד הגוף מסוג פשע או עבירה לפי </w:t>
      </w:r>
      <w:hyperlink r:id="rId13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144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לחוק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מסוג פשע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260"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6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חודשים מאסר על תנאי והתנאי הוא שלא יעבור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תוך </w:t>
      </w:r>
      <w:r>
        <w:rPr>
          <w:rFonts w:cs="Arial" w:ascii="Arial" w:hAnsi="Arial"/>
          <w:b/>
        </w:rPr>
        <w:t>3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שנים מיום שחרורו מהמאסר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עבירות אלימות כנגד הגוף מסוג עוון או עבירות לפי </w:t>
      </w:r>
      <w:hyperlink r:id="rId14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color w:val="0000FF"/>
            <w:u w:val="single"/>
          </w:rPr>
          <w:t>144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לחוק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מסוג עוון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hanging="720" w:start="1260" w:end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/>
          <w:rtl w:val="true"/>
        </w:rPr>
        <w:t>ד</w:t>
      </w:r>
      <w:r>
        <w:rPr>
          <w:rFonts w:cs="Arial" w:ascii="Arial" w:hAnsi="Arial"/>
          <w:b/>
          <w:rtl w:val="true"/>
        </w:rPr>
        <w:t>.</w:t>
        <w:tab/>
      </w:r>
      <w:r>
        <w:rPr>
          <w:rFonts w:ascii="Arial" w:hAnsi="Arial" w:cs="Arial"/>
          <w:b/>
          <w:b/>
          <w:rtl w:val="true"/>
        </w:rPr>
        <w:t xml:space="preserve">פיצוי למתלוננת בסך </w:t>
      </w:r>
      <w:r>
        <w:rPr>
          <w:rFonts w:cs="Arial" w:ascii="Arial" w:hAnsi="Arial"/>
          <w:b/>
        </w:rPr>
        <w:t>20,000</w:t>
      </w:r>
      <w:r>
        <w:rPr>
          <w:rFonts w:cs="Arial" w:ascii="Arial" w:hAnsi="Arial"/>
          <w:b/>
          <w:rtl w:val="true"/>
        </w:rPr>
        <w:t xml:space="preserve"> ₪ </w:t>
      </w:r>
      <w:r>
        <w:rPr>
          <w:rFonts w:ascii="Arial" w:hAnsi="Arial" w:cs="Arial"/>
          <w:b/>
          <w:b/>
          <w:rtl w:val="true"/>
        </w:rPr>
        <w:t>שיופקד בקופת ביהמ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ש תוך </w:t>
      </w:r>
      <w:r>
        <w:rPr>
          <w:rFonts w:cs="Arial" w:ascii="Arial" w:hAnsi="Arial"/>
          <w:b/>
        </w:rPr>
        <w:t>120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יום ויועבר למתלוננת על פי פרטים שימסרו על ידי המאשימה</w:t>
      </w:r>
      <w:r>
        <w:rPr>
          <w:rFonts w:cs="Arial" w:ascii="Arial" w:hAnsi="Arial"/>
          <w:b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יום מהיום 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#4#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ניתן והודע היום ד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אייר 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08/05/2011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30"/>
        <w:gridCol w:w="339"/>
        <w:gridCol w:w="2389"/>
        <w:gridCol w:w="328"/>
        <w:gridCol w:w="2736"/>
      </w:tblGrid>
      <w:tr>
        <w:trPr/>
        <w:tc>
          <w:tcPr>
            <w:tcW w:w="273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28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73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רות לורך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3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צבי דותן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32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עירית וינברג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נוטוביץ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רות לורך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אורטל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בוקובזה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33467-05-10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סילמן אלצאנע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260"/>
        </w:tabs>
        <w:ind w:start="126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case/6030667" TargetMode="External"/><Relationship Id="rId11" Type="http://schemas.openxmlformats.org/officeDocument/2006/relationships/hyperlink" Target="http://www.nevo.co.il/case/5704670" TargetMode="External"/><Relationship Id="rId12" Type="http://schemas.openxmlformats.org/officeDocument/2006/relationships/hyperlink" Target="http://www.nevo.co.il/case/574342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2016-04-26T12:31:00Z</dcterms:created>
  <dc:creator> </dc:creator>
  <dc:description/>
  <cp:keywords/>
  <dc:language>en-IL</dc:language>
  <cp:lastModifiedBy>run</cp:lastModifiedBy>
  <dcterms:modified xsi:type="dcterms:W3CDTF">2016-04-26T12:31:00Z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סילמן אלצאנע</vt:lpwstr>
  </property>
  <property fmtid="{D5CDD505-2E9C-101B-9397-08002B2CF9AE}" pid="4" name="CASESLISTTMP1">
    <vt:lpwstr>6030667;5704670;5743421</vt:lpwstr>
  </property>
  <property fmtid="{D5CDD505-2E9C-101B-9397-08002B2CF9AE}" pid="5" name="CITY">
    <vt:lpwstr>מרכז</vt:lpwstr>
  </property>
  <property fmtid="{D5CDD505-2E9C-101B-9397-08002B2CF9AE}" pid="6" name="DATE">
    <vt:lpwstr>20110508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רות לורך;צבי דותן;עירית וינברג נוטוביץ</vt:lpwstr>
  </property>
  <property fmtid="{D5CDD505-2E9C-101B-9397-08002B2CF9AE}" pid="10" name="LAWLISTTMP1">
    <vt:lpwstr>70301/329.a.1:2;144.b;144:2</vt:lpwstr>
  </property>
  <property fmtid="{D5CDD505-2E9C-101B-9397-08002B2CF9AE}" pid="11" name="LAWYER">
    <vt:lpwstr>קרן וקסלר;אבי כהן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33467</vt:lpwstr>
  </property>
  <property fmtid="{D5CDD505-2E9C-101B-9397-08002B2CF9AE}" pid="25" name="NEWPARTB">
    <vt:lpwstr>05</vt:lpwstr>
  </property>
  <property fmtid="{D5CDD505-2E9C-101B-9397-08002B2CF9AE}" pid="26" name="NEWPARTC">
    <vt:lpwstr>10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05 33467 45 htm</vt:lpwstr>
  </property>
  <property fmtid="{D5CDD505-2E9C-101B-9397-08002B2CF9AE}" pid="36" name="TYPE">
    <vt:lpwstr>2</vt:lpwstr>
  </property>
  <property fmtid="{D5CDD505-2E9C-101B-9397-08002B2CF9AE}" pid="37" name="TYPE_ABS_DATE">
    <vt:lpwstr>390020110508</vt:lpwstr>
  </property>
  <property fmtid="{D5CDD505-2E9C-101B-9397-08002B2CF9AE}" pid="38" name="TYPE_N_DATE">
    <vt:lpwstr>39020110508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