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34989-04-17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אלקיים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059"/>
        <w:gridCol w:w="283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כבוד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נתן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שלמה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פרידלנדר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דינה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כהן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05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ומירית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נוימן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83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0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38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05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קורן אלקיים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פאולה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ברוש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טמיר ברטל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כוכב</w:t>
            </w:r>
          </w:p>
        </w:tc>
        <w:tc>
          <w:tcPr>
            <w:tcW w:w="283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0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38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)],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</w:rPr>
          <w:t>410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i/>
          <w:i/>
          <w:iCs/>
          <w:rtl w:val="true"/>
        </w:rPr>
        <w:t>כב</w:t>
      </w:r>
      <w:r>
        <w:rPr>
          <w:rFonts w:cs="Calibri" w:ascii="Calibri" w:hAnsi="Calibri"/>
          <w:b/>
          <w:bCs/>
          <w:i/>
          <w:iCs/>
          <w:rtl w:val="true"/>
        </w:rPr>
        <w:t xml:space="preserve">' 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>השופט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 xml:space="preserve"> 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>שלמה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 xml:space="preserve"> </w:t>
      </w:r>
      <w:r>
        <w:rPr>
          <w:rFonts w:ascii="Calibri" w:hAnsi="Calibri" w:cs="Calibri"/>
          <w:b/>
          <w:b/>
          <w:bCs/>
          <w:i/>
          <w:i/>
          <w:iCs/>
          <w:rtl w:val="true"/>
        </w:rPr>
        <w:t>פרידלנדר</w:t>
      </w:r>
      <w:r>
        <w:rPr>
          <w:rFonts w:cs="Calibri" w:ascii="Calibri" w:hAnsi="Calibri"/>
          <w:b/>
          <w:bCs/>
          <w:i/>
          <w:iCs/>
          <w:rtl w:val="true"/>
        </w:rPr>
        <w:t>:</w:t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Cs w:val="26"/>
          <w:u w:val="single"/>
        </w:rPr>
      </w:pP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המתוקן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פרוטוקול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17.9.18</w:t>
      </w:r>
      <w:r>
        <w:rPr>
          <w:rFonts w:cs="Calibri" w:ascii="Calibri" w:hAnsi="Calibri"/>
          <w:sz w:val="22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rtl w:val="true"/>
        </w:rPr>
        <w:t>בעובדות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המתוקן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כלהלן</w:t>
      </w:r>
      <w:r>
        <w:rPr>
          <w:rFonts w:cs="Calibri" w:ascii="Calibri" w:hAnsi="Calibri"/>
          <w:sz w:val="22"/>
          <w:rtl w:val="true"/>
        </w:rPr>
        <w:t>: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הראשון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  <w:bookmarkStart w:id="7" w:name="ABSTRACT_START"/>
      <w:bookmarkEnd w:id="7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4.3.17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הקטין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הפארק</w:t>
      </w:r>
      <w:r>
        <w:rPr>
          <w:rFonts w:cs="Calibri" w:ascii="Calibri" w:hAnsi="Calibri"/>
          <w:rtl w:val="true"/>
        </w:rPr>
        <w:t>").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>").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>".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הזעיק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העליונה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הזעיק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פוקוס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המכונית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קוסשוילי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רן</w:t>
      </w:r>
      <w:r>
        <w:rPr>
          <w:rFonts w:cs="Calibri" w:ascii="Calibri" w:hAnsi="Calibri"/>
          <w:rtl w:val="true"/>
        </w:rPr>
        <w:t>").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אמית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00:30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דזאנשוילי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שרון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אוזן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אלמוג</w:t>
      </w:r>
      <w:r>
        <w:rPr>
          <w:rFonts w:cs="Calibri" w:ascii="Calibri" w:hAnsi="Calibri"/>
          <w:rtl w:val="true"/>
        </w:rPr>
        <w:t>").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ויהודייה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אלמוג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הישיבה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רז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במוצאו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רדפו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מהרדיפה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הבאות</w:t>
      </w:r>
      <w:r>
        <w:rPr>
          <w:rFonts w:cs="Calibri" w:ascii="Calibri" w:hAnsi="Calibri"/>
          <w:sz w:val="22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תקיפה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4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מחשידות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בכוונת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5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בהסתייעות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ברכב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פקודת התעבורה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[</w:t>
      </w:r>
      <w:r>
        <w:rPr>
          <w:rFonts w:ascii="Calibri" w:hAnsi="Calibri" w:cs="Calibri"/>
          <w:b/>
          <w:b/>
          <w:bCs/>
          <w:rtl w:val="true"/>
        </w:rPr>
        <w:t>נוסח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חדש</w:t>
      </w:r>
      <w:r>
        <w:rPr>
          <w:rFonts w:cs="Calibri" w:ascii="Calibri" w:hAnsi="Calibri"/>
          <w:b/>
          <w:bCs/>
          <w:rtl w:val="true"/>
        </w:rPr>
        <w:t>]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")],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פסילת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רישיון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נהיגה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השני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4.3.17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התארגנו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ליהודיות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17.3.17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'") </w:t>
      </w:r>
      <w:r>
        <w:rPr>
          <w:rFonts w:ascii="Calibri" w:hAnsi="Calibri" w:cs="Calibri"/>
          <w:rtl w:val="true"/>
        </w:rPr>
        <w:t>לחפש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ולהפחידם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פוקוס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ההונדה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הייתם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ולידו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להתארגן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ההונדה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בפטיש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והפטיש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לשפשוף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u w:val="single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סיוע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לתקיפה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הגורמת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ממש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33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6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u w:val="single"/>
          <w:rtl w:val="true"/>
        </w:rPr>
        <w:t>ובסיוע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במזיד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37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5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cs="Calibri" w:ascii="Calibri" w:hAnsi="Calibri"/>
          <w:sz w:val="22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בתקיפה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הגורמת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ממש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rtl w:val="true"/>
        </w:rPr>
        <w:t>],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10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ובחבלה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במזיד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10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השלישי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20.3.17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מוחמד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בפארק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ות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הקונכייה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הקונכייה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לאצטדיון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טרנר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ות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סיגריה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ות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"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מפלסטיק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לקונכייה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צועקים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מהמכונית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המתוארים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בתקיפה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הגורמת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ממש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10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הרביעי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5-6.4.17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המכונית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לטרנינג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מיצובישי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המיצובישי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למיצובישי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ברמזור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לסיגריה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המיצובישי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מהמכונית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המיצובישי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כשראשיהם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בקפוצ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יזוהו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המיצובישי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מהמיצובישי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למיצובישי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בגלגלי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המיצובישי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u w:val="single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סיוע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לניסיון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תקיפה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cs="Calibri" w:ascii="Calibri" w:hAnsi="Calibri"/>
            <w:color w:val="0000FF"/>
            <w:u w:val="single"/>
          </w:rPr>
          <w:t>382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,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וסעיף</w:t>
      </w:r>
      <w:r>
        <w:rPr>
          <w:rFonts w:ascii="Calibri" w:hAnsi="Calibri" w:cs="Calibri"/>
          <w:rtl w:val="true"/>
        </w:rPr>
        <w:t xml:space="preserve"> </w:t>
      </w:r>
      <w:hyperlink r:id="rId52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rtl w:val="true"/>
        </w:rPr>
        <w:t>],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4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u w:val="single"/>
          <w:rtl w:val="true"/>
        </w:rPr>
        <w:t>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במזיד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ברכב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10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u w:val="single"/>
          <w:rtl w:val="true"/>
        </w:rPr>
        <w:t>ונסיבות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מחשידות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בכוונת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פריצה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מניע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עד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10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שנות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בהסתייעות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ברכב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פקודת התעבורה</w:t>
        </w:r>
      </w:hyperlink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עבירה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שדינה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פסילת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רישיון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נהיגה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start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נפגעי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העבירה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תסקירי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הוגשו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בענייננו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משום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שהנפגעים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מוכרים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חפצו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הצפוי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עקב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מאליו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6"/>
          <w:u w:val="single"/>
        </w:rPr>
        <w:t>1</w:t>
      </w:r>
      <w:r>
        <w:rPr>
          <w:rFonts w:cs="Calibri" w:ascii="Calibri" w:hAnsi="Calibri"/>
          <w:b/>
          <w:bCs/>
          <w:sz w:val="22"/>
          <w:szCs w:val="26"/>
          <w:u w:val="single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מתסקיר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במשפחה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שנשארה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תומכת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גירושיהם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ההורים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השלים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הלימודים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גיוסו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לצבא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בפיצרייה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התנדב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בעמותת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שירת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בצבא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כלוחם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וזכה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לשבחים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ממפקדיו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הכיר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באחריותו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וצער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הנפגעים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לדבריו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בעייתית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ופעל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לעומק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השלכות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שאותם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בדיעבד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המעורבים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בפרשה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פיקוח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והשתלב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ובשיחות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פרטניות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פעולה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התקדמות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וניכר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להמשיך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ולהשיב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למסלולם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הנורמטיבי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עורכת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מיכולותיו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המילוליות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והשכליות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ומיכולת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תפקודו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אידיאולוגיות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הערבי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קדומות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שספג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מסביבתו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הקרובה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רצונו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להרגיש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יכולתו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לעומק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השלכות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והדבר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עשוי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להכשיל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מנגד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חווית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מהווים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הרתעתי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ביטא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מפורש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מחזרה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לכלא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נלקחה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העובדה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בידיו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להתמודדות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המהווים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נלקח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הצעיר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יכולתו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לתפקד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שילובו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ושאיפותיו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לעתיד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בסיכום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יהווה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מחושית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וגבול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חיצוני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העמדתו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שבמהלכה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ישולב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קבוצתי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יספק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להתמודדות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וזיהוי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ויספק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קבוצת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שייכות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Cs w:val="26"/>
          <w:u w:val="single"/>
        </w:rPr>
        <w:t>2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מתסקיר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למשפחה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במקביל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גויס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לצבא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הבגרות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האירועים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הנדונים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התרחשו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תלמיד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רצון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להשתייך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לקבוצה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ביטחונו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העצמי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נמוך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ולפיכך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להסתייג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שחש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פסולים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בושה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וצער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פיקוח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השתלב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בקבוצה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ייעודית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לעצורים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ובשיחות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שבועיות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וניראה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להתקדם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ביטחונו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ודימויו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העצמי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וסייע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בהתמודדות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העובדה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היעדרם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להתמודדות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נלקח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הצעיר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יכולותיו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התפקודיות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היעדר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שילובו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ושאיפותיו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הנורמטיביות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לעתיד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עורכת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מאפיינים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באישיותו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להיסחף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במטרה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להעלות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דימויו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בעיניהם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ולחזק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תחושת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השייכות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להתרשמותה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ייזום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חוויית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מהווים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הרתעתי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לבטא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עורכת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סבורה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להוביל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להידרדרות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הרגשי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להפנים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עברייניות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בסיכום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פיקוח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בפיקוח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המאשימה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בטיעוניה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פרוטוקול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14.3.19</w:t>
      </w:r>
      <w:r>
        <w:rPr>
          <w:rFonts w:cs="Calibri" w:ascii="Calibri" w:hAnsi="Calibri"/>
          <w:sz w:val="22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בטיעוניה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הצביעה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בעיקר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לביצועם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והטעימה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אידיאולוגי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ערכיה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הדמוקרטיים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והשוויוניים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המדינה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מחמירה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6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144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61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הכפלת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הגדלתו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במטרה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משותפת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מתוכננים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וחוזרים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אנשים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הערבי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לדחות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הטענה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נגררו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לביצוע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הרוח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החיה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מאחורי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הרי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שהתכנון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החזרתיות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בצוותא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שאפיינו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שוללים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סיווגם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כמעידה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חברתי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ובהתחשב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שנקבעו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8-4.5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5.5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]; </w:t>
      </w:r>
      <w:r>
        <w:rPr>
          <w:rFonts w:ascii="Calibri" w:hAnsi="Calibri" w:cs="Calibri"/>
          <w:sz w:val="22"/>
          <w:sz w:val="22"/>
          <w:rtl w:val="true"/>
        </w:rPr>
        <w:t>ולאור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שהגישה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כמפורט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6-2.5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ולגזור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3.5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הבחינה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ונראה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שהציעה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הואשם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cs="Calibri" w:ascii="Calibri" w:hAnsi="Calibri"/>
          <w:b/>
          <w:bCs/>
          <w:sz w:val="22"/>
          <w:szCs w:val="26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u w:val="single"/>
        </w:rPr>
        <w:t>1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בטיעוניה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בכתב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בפרוטוקול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14.3.19</w:t>
      </w:r>
      <w:r>
        <w:rPr>
          <w:rFonts w:cs="Calibri" w:ascii="Calibri" w:hAnsi="Calibri"/>
          <w:sz w:val="22"/>
          <w:rtl w:val="true"/>
        </w:rPr>
        <w:t xml:space="preserve">] </w:t>
      </w:r>
      <w:r>
        <w:rPr>
          <w:rFonts w:ascii="Calibri" w:hAnsi="Calibri" w:cs="Calibri"/>
          <w:sz w:val="22"/>
          <w:sz w:val="22"/>
          <w:rtl w:val="true"/>
        </w:rPr>
        <w:t>הטעימה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שחרורו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מהמעצר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ההליך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בתנאים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מגבילים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ביותר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השתתף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השתלב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התעסוקה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בסופו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הסופי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מטעם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תוארה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תמונה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חיובית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והומלץ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והעמדתו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מבחן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האירועים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הסתמכה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ההדוק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6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4910/13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29.10.2014</w:t>
      </w:r>
      <w:r>
        <w:rPr>
          <w:rFonts w:cs="Calibri" w:ascii="Calibri" w:hAnsi="Calibri"/>
          <w:sz w:val="22"/>
          <w:rtl w:val="true"/>
        </w:rPr>
        <w:t xml:space="preserve">)], </w:t>
      </w:r>
      <w:r>
        <w:rPr>
          <w:rFonts w:ascii="Calibri" w:hAnsi="Calibri" w:cs="Calibri"/>
          <w:sz w:val="22"/>
          <w:sz w:val="22"/>
          <w:rtl w:val="true"/>
        </w:rPr>
        <w:t>וציינה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האירועים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התרחשו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בחודש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בהשתתפות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והופנו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אוכלוסייה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שהיוותה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משותף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ההתרחשויות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9" w:name="_Ref5268908"/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נוספות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בנפגעי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בפרשה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יחסית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והשתתפותו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הצטמצמה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לנוכחות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במקום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נקט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פיזית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מילולית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המתלוננים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הוביל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ההתרחשויות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ולמעט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שבמסגרתו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שוטר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השתמש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בחפצים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פוגעניים</w:t>
      </w:r>
      <w:r>
        <w:rPr>
          <w:rFonts w:cs="Calibri" w:ascii="Calibri" w:hAnsi="Calibri"/>
          <w:sz w:val="22"/>
          <w:rtl w:val="true"/>
        </w:rPr>
        <w:t>.</w:t>
      </w:r>
      <w:bookmarkEnd w:id="9"/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הונע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רצון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להרגיש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שייך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כהתרשמות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בטיעוניה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חזרה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והדגישה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הצטרף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והסיע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אותה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היחיד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נקט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פרוטוקול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14.3.19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עמ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cs="Calibri" w:ascii="Calibri" w:hAnsi="Calibri"/>
          <w:sz w:val="22"/>
        </w:rPr>
        <w:t>24</w:t>
      </w:r>
      <w:r>
        <w:rPr>
          <w:rFonts w:cs="Calibri" w:ascii="Calibri" w:hAnsi="Calibri"/>
          <w:sz w:val="22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לאמור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שהגישה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שתפורט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בנוגע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לנסיבותיו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טענה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).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להתייחסות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בגירים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צעירים</w:t>
      </w:r>
      <w:r>
        <w:rPr>
          <w:rFonts w:cs="Calibri" w:ascii="Calibri" w:hAnsi="Calibri"/>
          <w:sz w:val="22"/>
          <w:rtl w:val="true"/>
        </w:rPr>
        <w:t>" (</w:t>
      </w:r>
      <w:r>
        <w:rPr>
          <w:rFonts w:ascii="Calibri" w:hAnsi="Calibri" w:cs="Calibri"/>
          <w:sz w:val="22"/>
          <w:sz w:val="22"/>
          <w:rtl w:val="true"/>
        </w:rPr>
        <w:t>גילאי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25-18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הדומים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במאפייניהם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לקטינים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יכולת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ההבנה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הפסול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במעשיהם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מבחינת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שהשהות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בחברה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עבריינית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גורם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לתוחלת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השתלבותם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בחברה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הנורמטיבית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ומבחינת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הפוטנציאל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שלהם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הגבוה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יחסית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לבגירים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מבוגרים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לפיכך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ועונשים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10" w:name="_Ref7260378"/>
      <w:r>
        <w:rPr>
          <w:rFonts w:ascii="Calibri" w:hAnsi="Calibri" w:cs="Calibri"/>
          <w:sz w:val="22"/>
          <w:sz w:val="22"/>
          <w:rtl w:val="true"/>
        </w:rPr>
        <w:t>בהקשר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התנערה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מיצירת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סיווג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cs="Calibri" w:ascii="Calibri" w:hAnsi="Calibri"/>
          <w:sz w:val="22"/>
          <w:rtl w:val="true"/>
        </w:rPr>
        <w:t xml:space="preserve">",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זכרה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בחוק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יחד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מהתחשבות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יחסית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מטעמים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הצפוי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מכליאה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פוטנציאל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6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6961/17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אלקיעאן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7.3.2018</w:t>
      </w:r>
      <w:r>
        <w:rPr>
          <w:rFonts w:cs="Calibri" w:ascii="Calibri" w:hAnsi="Calibri"/>
          <w:sz w:val="22"/>
          <w:rtl w:val="true"/>
        </w:rPr>
        <w:t xml:space="preserve">)]. </w:t>
      </w:r>
      <w:r>
        <w:rPr>
          <w:rFonts w:ascii="Calibri" w:hAnsi="Calibri" w:cs="Calibri"/>
          <w:sz w:val="22"/>
          <w:sz w:val="22"/>
          <w:rtl w:val="true"/>
        </w:rPr>
        <w:t>לפיכך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טענה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ההגנה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תישקל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דדוקטיבי</w:t>
      </w:r>
      <w:r>
        <w:rPr>
          <w:rFonts w:cs="Calibri" w:ascii="Calibri" w:hAnsi="Calibri"/>
          <w:sz w:val="22"/>
          <w:rtl w:val="true"/>
        </w:rPr>
        <w:t>.</w:t>
      </w:r>
      <w:bookmarkEnd w:id="10"/>
      <w:r>
        <w:rPr>
          <w:rFonts w:cs="Calibri" w:ascii="Calibri" w:hAnsi="Calibri"/>
          <w:sz w:val="22"/>
          <w:rtl w:val="true"/>
        </w:rPr>
        <w:t xml:space="preserve"> 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כמפורט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לעיל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וטענה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מחייבת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מיוחד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הדגישה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הנורמטיבי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התנהלותו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החיובית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וחזרתו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למוטב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שיתוף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והתועלת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שהפיק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במתלוננים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תפקודו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החיובי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להיום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חזרתו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והתנדבותו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למיזם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צפוי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בעקבות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הרשעתו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באפשרויות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התעסוקה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פתוחות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הכתמת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ומגבלות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נוספות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הנובעות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מהרשעתו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בפלילים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לבסוף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השפעה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מכרעת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מבלי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להפחית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מחשיבות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ההרתעה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6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779/08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מוסלי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1.4.2009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שבו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נגזרו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לארגון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פשיעה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ול</w:t>
      </w:r>
      <w:hyperlink r:id="rId6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9147/17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עביד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20.9.2018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שבו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ש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פ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שיקום</w:t>
      </w:r>
      <w:r>
        <w:rPr>
          <w:rFonts w:cs="Calibri" w:ascii="Calibri" w:hAnsi="Calibri"/>
          <w:sz w:val="22"/>
          <w:rtl w:val="true"/>
        </w:rPr>
        <w:t xml:space="preserve">].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ליישם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לסטות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6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ד</w:t>
        </w:r>
      </w:hyperlink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67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להימנע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ולהסתפק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שהומלץ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פיקוח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לשנה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לחילופין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התחתון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לדו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הוועדה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לבחינת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מדיניות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והטיפול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בעבריינים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["</w:t>
      </w:r>
      <w:r>
        <w:rPr>
          <w:rFonts w:ascii="Calibri" w:hAnsi="Calibri" w:cs="Calibri"/>
          <w:sz w:val="22"/>
          <w:sz w:val="22"/>
          <w:rtl w:val="true"/>
        </w:rPr>
        <w:t>וועדת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דורנר</w:t>
      </w:r>
      <w:r>
        <w:rPr>
          <w:rFonts w:cs="Calibri" w:ascii="Calibri" w:hAnsi="Calibri"/>
          <w:sz w:val="22"/>
          <w:rtl w:val="true"/>
        </w:rPr>
        <w:t xml:space="preserve">", </w:t>
      </w:r>
      <w:r>
        <w:rPr>
          <w:rFonts w:ascii="Calibri" w:hAnsi="Calibri" w:cs="Calibri"/>
          <w:sz w:val="22"/>
          <w:sz w:val="22"/>
          <w:rtl w:val="true"/>
        </w:rPr>
        <w:t>מאוקטובר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2015</w:t>
      </w:r>
      <w:r>
        <w:rPr>
          <w:rFonts w:cs="Calibri" w:ascii="Calibri" w:hAnsi="Calibri"/>
          <w:sz w:val="22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אומצה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היועץ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לממשלה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הדו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סקר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השפעות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ממושכים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הפחיתו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ולעיתים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הגדילו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הרדיציביזם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ושלל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לעלייה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בהרתעה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שאימצה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הוועדה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כגון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6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ג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36573-01-18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מחאמיד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7.2.2018</w:t>
      </w:r>
      <w:r>
        <w:rPr>
          <w:rFonts w:cs="Calibri" w:ascii="Calibri" w:hAnsi="Calibri"/>
          <w:sz w:val="22"/>
          <w:rtl w:val="true"/>
        </w:rPr>
        <w:t>)].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מטעם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מכתב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עיוור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מסייע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בהתנדבות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תקופה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ארוכה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בליווי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לטיפולים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רפואיים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ולקניות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חרטה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יודע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שעשיתי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מעשה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מאוד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חמור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מתבייש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מאוד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שעשיתי</w:t>
      </w:r>
      <w:r>
        <w:rPr>
          <w:rFonts w:cs="Calibri" w:ascii="Calibri" w:hAnsi="Calibri"/>
          <w:b/>
          <w:bCs/>
          <w:sz w:val="22"/>
          <w:rtl w:val="true"/>
        </w:rPr>
        <w:t xml:space="preserve">...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באמת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מתבייש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בעצמי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ויש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מה</w:t>
      </w:r>
      <w:r>
        <w:rPr>
          <w:rFonts w:cs="Calibri" w:ascii="Calibri" w:hAnsi="Calibri"/>
          <w:b/>
          <w:bCs/>
          <w:sz w:val="22"/>
          <w:rtl w:val="true"/>
        </w:rPr>
        <w:t xml:space="preserve">...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הלוואי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והייתי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יכול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לבקש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סליחה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מהמתלוננים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שפגענו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בהם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באמת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בצורה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אכזרית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 xml:space="preserve"> [</w:t>
      </w:r>
      <w:r>
        <w:rPr>
          <w:rFonts w:cs="Calibri" w:ascii="Calibri" w:hAnsi="Calibri"/>
          <w:sz w:val="22"/>
        </w:rPr>
        <w:t>14.3.2019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עמ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cs="Calibri" w:ascii="Calibri" w:hAnsi="Calibri"/>
          <w:sz w:val="22"/>
        </w:rPr>
        <w:t>26</w:t>
      </w:r>
      <w:r>
        <w:rPr>
          <w:rFonts w:cs="Calibri" w:ascii="Calibri" w:hAnsi="Calibri"/>
          <w:sz w:val="22"/>
          <w:rtl w:val="true"/>
        </w:rPr>
        <w:t xml:space="preserve">].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לאמירה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והפקיד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למרות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שהתביעה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דרשה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בטיעוניה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הנאשם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u w:val="single"/>
        </w:rPr>
        <w:t>2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בטיעוניה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בכתב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בפרוטוקול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14.3.19</w:t>
      </w:r>
      <w:r>
        <w:rPr>
          <w:rFonts w:cs="Calibri" w:ascii="Calibri" w:hAnsi="Calibri"/>
          <w:sz w:val="22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rtl w:val="true"/>
        </w:rPr>
        <w:t>הטעימה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בלבד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תלמיד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באירועים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המתוארים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והרביעי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מינורי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יזם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רגיל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שתחילתו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בהתגרות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המעורבים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למעט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כלל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השלום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בדרגת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נמוכה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שתוצאותיה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הצטמצמו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לשפשוף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בחלון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הרכב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בלבד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ביזמת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ושילוב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טיפולי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מהווים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פרשה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ההדוק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6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1261/15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דלאל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3.9.2015</w:t>
      </w:r>
      <w:r>
        <w:rPr>
          <w:rFonts w:cs="Calibri" w:ascii="Calibri" w:hAnsi="Calibri"/>
          <w:sz w:val="22"/>
          <w:rtl w:val="true"/>
        </w:rPr>
        <w:t xml:space="preserve">)] </w:t>
      </w:r>
      <w:r>
        <w:rPr>
          <w:rFonts w:ascii="Calibri" w:hAnsi="Calibri" w:cs="Calibri"/>
          <w:sz w:val="22"/>
          <w:sz w:val="22"/>
          <w:rtl w:val="true"/>
        </w:rPr>
        <w:t>ובשים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לסמיכות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הזמנים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11" w:name="_Ref5268946"/>
      <w:r>
        <w:rPr>
          <w:rFonts w:ascii="Calibri" w:hAnsi="Calibri" w:cs="Calibri"/>
          <w:sz w:val="22"/>
          <w:sz w:val="22"/>
          <w:rtl w:val="true"/>
        </w:rPr>
        <w:t>בנוגע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בהתארגנות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ספונטנית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תכנון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הנוספים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תכנון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בהתבסס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7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ח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35048-04-17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רז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עמיצור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5.11.2018</w:t>
      </w:r>
      <w:r>
        <w:rPr>
          <w:rFonts w:cs="Calibri" w:ascii="Calibri" w:hAnsi="Calibri"/>
          <w:sz w:val="22"/>
          <w:rtl w:val="true"/>
        </w:rPr>
        <w:t xml:space="preserve">)] –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הוביל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וסיפק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לביצועם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הוזכר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נטייתו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להיסחף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cs="Calibri" w:ascii="Calibri" w:hAnsi="Calibri"/>
          <w:sz w:val="22"/>
          <w:rtl w:val="true"/>
        </w:rPr>
        <w:t>.</w:t>
      </w:r>
      <w:bookmarkEnd w:id="11"/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הצפוי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לזכור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מטרתו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הרתעה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ולמעט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עיקר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לרכוש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תלמיד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הקטינות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בתסקיר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אופייניים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ולמשפחתו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נבעו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אידיאולוגי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לחרוג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ולסעיף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71"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72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בהתייחס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בהיותו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ולחסוך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השפעתו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ההרסנית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עברייניות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והידרדרות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במצבו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הנפשי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7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7781/12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פלוני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25.3.2013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כקטינים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נוטים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לפעול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חברתי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צריך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להוות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מרכזי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ענישתם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להערתי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זניחתו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הסיווג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cs="Calibri" w:ascii="Calibri" w:hAnsi="Calibri"/>
          <w:sz w:val="22"/>
          <w:rtl w:val="true"/>
        </w:rPr>
        <w:t xml:space="preserve">", </w:t>
      </w:r>
      <w:r>
        <w:rPr>
          <w:rFonts w:ascii="Calibri" w:hAnsi="Calibri" w:cs="Calibri"/>
          <w:sz w:val="22"/>
          <w:sz w:val="22"/>
          <w:rtl w:val="true"/>
        </w:rPr>
        <w:t>והמרתו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בשקילת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ההשלכות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לעיל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בפסקה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</w:rPr>
        <w:t>‎</w:t>
      </w:r>
      <w:r>
        <w:rPr>
          <w:rFonts w:cs="David" w:ascii="David" w:hAnsi="David"/>
          <w:sz w:val="22"/>
        </w:rPr>
        <w:t>50</w:t>
      </w:r>
      <w:r>
        <w:rPr>
          <w:rFonts w:cs="Calibri" w:ascii="Calibri" w:hAnsi="Calibri"/>
          <w:sz w:val="22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ממאסרו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בהיותה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העסקיים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הערבי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נגרמו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נזקים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עקב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הפסקת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בכיתות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ג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ד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והחמצת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כעתודאי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מהרגע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ושיתף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הרשויות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בחינות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הבגרות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שהחמיץ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ילדותו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כסובל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מהפרעת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וריכוז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בלימודיו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דימויו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העצמי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הנמוך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להיגרר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פסולים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המניעים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למעשיו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וקיבל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שיסייעו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לנהוג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בעתיד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לסיכום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לבכר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ההרתעה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והגמול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בהודאה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ובשיתוף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מתחילת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ההליך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מטעם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מכתב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היועצת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החינוכית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ספרו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גב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ascii="Calibri" w:hAnsi="Calibri" w:cs="Calibri"/>
          <w:sz w:val="22"/>
          <w:sz w:val="22"/>
          <w:rtl w:val="true"/>
        </w:rPr>
        <w:t>סיוון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בזק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תיארה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כילד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ורגיש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שבתחילת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דרכו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כתלמיד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</w:t>
      </w:r>
      <w:r>
        <w:rPr>
          <w:rFonts w:cs="Calibri" w:ascii="Calibri" w:hAnsi="Calibri"/>
          <w:sz w:val="22"/>
          <w:rtl w:val="true"/>
        </w:rPr>
        <w:t xml:space="preserve">', </w:t>
      </w:r>
      <w:r>
        <w:rPr>
          <w:rFonts w:ascii="Calibri" w:hAnsi="Calibri" w:cs="Calibri"/>
          <w:sz w:val="22"/>
          <w:sz w:val="22"/>
          <w:rtl w:val="true"/>
        </w:rPr>
        <w:t>התקשה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מבחינה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לימודית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וחברתית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שינוי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בחייו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באתגר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לעזרה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ולקבל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בצניעות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דברי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הדרכה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התנצל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סיפר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שותפיו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שינוי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דרכיו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סיפרה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ציינה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מהשפעת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והציעה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להשגיח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בסיום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ואמר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במהלך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כיתה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הייתי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מעורב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במעשים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האלה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לוקח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עליהם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אחריות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מצטער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שעשיתי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ומתבייש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שעשיתי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מסתכל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לאחור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מאמין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שעשיתי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וסיפר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ערבים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שבביתו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יחידות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שמושכרות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מתבייש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שיגלו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ההשלכות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ממאסר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בימי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המעצר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צעקתי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לשמיים</w:t>
      </w:r>
      <w:r>
        <w:rPr>
          <w:rFonts w:cs="Calibri" w:ascii="Calibri" w:hAnsi="Calibri"/>
          <w:b/>
          <w:bCs/>
          <w:sz w:val="22"/>
          <w:rtl w:val="true"/>
        </w:rPr>
        <w:t xml:space="preserve">...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רוצה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שם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רוצה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במקום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הזה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 xml:space="preserve"> [</w:t>
      </w:r>
      <w:r>
        <w:rPr>
          <w:rFonts w:ascii="Calibri" w:hAnsi="Calibri" w:cs="Calibri"/>
          <w:sz w:val="22"/>
          <w:sz w:val="22"/>
          <w:rtl w:val="true"/>
        </w:rPr>
        <w:t>פרוטוקול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14.3.2019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עמ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cs="Calibri" w:ascii="Calibri" w:hAnsi="Calibri"/>
          <w:sz w:val="22"/>
        </w:rPr>
        <w:t>26</w:t>
      </w:r>
      <w:r>
        <w:rPr>
          <w:rFonts w:cs="Calibri" w:ascii="Calibri" w:hAnsi="Calibri"/>
          <w:sz w:val="22"/>
          <w:rtl w:val="true"/>
        </w:rPr>
        <w:t>].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</w:rPr>
      </w:pPr>
      <w:r>
        <w:rPr>
          <w:rFonts w:cs="Calibri" w:ascii="Calibri" w:hAnsi="Calibri"/>
          <w:b/>
          <w:bCs/>
          <w:sz w:val="22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מניין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</w:t>
      </w:r>
      <w:r>
        <w:rPr>
          <w:rFonts w:cs="Calibri" w:ascii="Calibri" w:hAnsi="Calibri"/>
          <w:b/>
          <w:bCs/>
          <w:sz w:val="22"/>
          <w:szCs w:val="26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אירועים</w:t>
      </w:r>
      <w:r>
        <w:rPr>
          <w:rFonts w:cs="Calibri" w:ascii="Calibri" w:hAnsi="Calibri"/>
          <w:b/>
          <w:bCs/>
          <w:sz w:val="22"/>
          <w:szCs w:val="26"/>
          <w:u w:val="single"/>
          <w:rtl w:val="true"/>
        </w:rPr>
        <w:t xml:space="preserve">",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לצורך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ההולם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7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רישא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75">
        <w:r>
          <w:rPr>
            <w:rStyle w:val="Hyperlink"/>
            <w:rFonts w:ascii="Calibri" w:hAnsi="Calibri" w:cs="Calibri"/>
            <w:sz w:val="22"/>
            <w:sz w:val="22"/>
            <w:rtl w:val="true"/>
          </w:rPr>
          <w:t>שגיאה</w:t>
        </w:r>
        <w:r>
          <w:rPr>
            <w:rStyle w:val="Hyperlink"/>
            <w:rFonts w:cs="Calibri" w:ascii="Calibri" w:hAnsi="Calibri"/>
            <w:sz w:val="22"/>
            <w:rtl w:val="true"/>
          </w:rPr>
          <w:t xml:space="preserve">! </w:t>
        </w:r>
        <w:r>
          <w:rPr>
            <w:rStyle w:val="Hyperlink"/>
            <w:rFonts w:ascii="Calibri" w:hAnsi="Calibri" w:cs="Calibri"/>
            <w:sz w:val="22"/>
            <w:sz w:val="22"/>
            <w:rtl w:val="true"/>
          </w:rPr>
          <w:t>ההפניה להיפר</w:t>
        </w:r>
        <w:r>
          <w:rPr>
            <w:rStyle w:val="Hyperlink"/>
            <w:rFonts w:cs="Calibri" w:ascii="Calibri" w:hAnsi="Calibri"/>
            <w:sz w:val="22"/>
            <w:rtl w:val="true"/>
          </w:rPr>
          <w:t>-</w:t>
        </w:r>
        <w:r>
          <w:rPr>
            <w:rStyle w:val="Hyperlink"/>
            <w:rFonts w:ascii="Calibri" w:hAnsi="Calibri" w:cs="Calibri"/>
            <w:sz w:val="22"/>
            <w:sz w:val="22"/>
            <w:rtl w:val="true"/>
          </w:rPr>
          <w:t>קישור אינה חוקית</w:t>
        </w:r>
        <w:r>
          <w:rPr>
            <w:rStyle w:val="Hyperlink"/>
            <w:rFonts w:cs="Calibri" w:ascii="Calibri" w:hAnsi="Calibri"/>
            <w:sz w:val="22"/>
            <w:rtl w:val="true"/>
          </w:rPr>
          <w:t>.</w:t>
        </w:r>
      </w:hyperlink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העונשין</w:t>
      </w:r>
      <w:r>
        <w:rPr>
          <w:rFonts w:cs="Calibri" w:ascii="Calibri" w:hAnsi="Calibri"/>
          <w:b/>
          <w:bCs/>
          <w:sz w:val="22"/>
          <w:rtl w:val="true"/>
        </w:rPr>
        <w:t>,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הרשיע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בית</w:t>
      </w:r>
      <w:r>
        <w:rPr>
          <w:rFonts w:cs="Calibri" w:ascii="Calibri" w:hAnsi="Calibri"/>
          <w:b/>
          <w:bCs/>
          <w:sz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בכמה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עבירות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המהוות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אירועים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יקבע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מתחם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הולם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כאמור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בסעיף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40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</w:t>
      </w:r>
      <w:r>
        <w:rPr>
          <w:rFonts w:cs="Calibri" w:ascii="Calibri" w:hAnsi="Calibri"/>
          <w:b/>
          <w:bCs/>
          <w:sz w:val="22"/>
          <w:rtl w:val="true"/>
        </w:rPr>
        <w:t>(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</w:t>
      </w:r>
      <w:r>
        <w:rPr>
          <w:rFonts w:cs="Calibri" w:ascii="Calibri" w:hAnsi="Calibri"/>
          <w:b/>
          <w:bCs/>
          <w:sz w:val="22"/>
          <w:rtl w:val="true"/>
        </w:rPr>
        <w:t xml:space="preserve">)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אירוע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בנפרד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ולאחר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מכן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רשאי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לגזור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נפרד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אירוע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כולל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האירועים</w:t>
      </w:r>
      <w:r>
        <w:rPr>
          <w:rFonts w:cs="Calibri" w:ascii="Calibri" w:hAnsi="Calibri"/>
          <w:b/>
          <w:bCs/>
          <w:sz w:val="22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גזר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בית</w:t>
      </w:r>
      <w:r>
        <w:rPr>
          <w:rFonts w:cs="Calibri" w:ascii="Calibri" w:hAnsi="Calibri"/>
          <w:b/>
          <w:bCs/>
          <w:sz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נפרד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אירוע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יקבע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מידת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החפיפה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העונשים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הצטברותם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בהתאם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לסעיף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ולפסק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המנחה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7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4910/13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29.10.2014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תחילה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ולקבץ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אירוע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אירועים</w:t>
      </w:r>
      <w:r>
        <w:rPr>
          <w:rFonts w:cs="Calibri" w:ascii="Calibri" w:hAnsi="Calibri"/>
          <w:sz w:val="22"/>
          <w:rtl w:val="true"/>
        </w:rPr>
        <w:t xml:space="preserve">", </w:t>
      </w:r>
      <w:r>
        <w:rPr>
          <w:rFonts w:ascii="Calibri" w:hAnsi="Calibri" w:cs="Calibri"/>
          <w:sz w:val="22"/>
          <w:sz w:val="22"/>
          <w:rtl w:val="true"/>
        </w:rPr>
        <w:t>לעניין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ריבוי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ריבויים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והתפרשותם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לעתים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תקופה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ארוכה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ייחשב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מסכת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עבריינית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אחת</w:t>
      </w:r>
      <w:r>
        <w:rPr>
          <w:rFonts w:cs="Calibri" w:ascii="Calibri" w:hAnsi="Calibri"/>
          <w:sz w:val="22"/>
          <w:rtl w:val="true"/>
        </w:rPr>
        <w:t>" [</w:t>
      </w:r>
      <w:r>
        <w:rPr>
          <w:rFonts w:ascii="Calibri" w:hAnsi="Calibri" w:cs="Calibri"/>
          <w:sz w:val="22"/>
          <w:sz w:val="22"/>
          <w:rtl w:val="true"/>
        </w:rPr>
        <w:t>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פסקה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בפסק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דינו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ascii="Calibri" w:hAnsi="Calibri" w:cs="Calibri"/>
          <w:sz w:val="22"/>
          <w:sz w:val="22"/>
          <w:rtl w:val="true"/>
        </w:rPr>
        <w:t>השופט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פוגלמן</w:t>
      </w:r>
      <w:r>
        <w:rPr>
          <w:rFonts w:cs="Calibri" w:ascii="Calibri" w:hAnsi="Calibri"/>
          <w:sz w:val="22"/>
          <w:rtl w:val="true"/>
        </w:rPr>
        <w:t xml:space="preserve">]. </w:t>
      </w:r>
      <w:r>
        <w:rPr>
          <w:rFonts w:ascii="Calibri" w:hAnsi="Calibri" w:cs="Calibri"/>
          <w:sz w:val="22"/>
          <w:sz w:val="22"/>
          <w:rtl w:val="true"/>
        </w:rPr>
        <w:t>לגבי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שבוצעו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בסמיכות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שונים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מהווים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נפרד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שבגינו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נפרד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7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1605/13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פלוני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27.8.2014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פסקאות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15</w:t>
        <w:softHyphen/>
        <w:t>-18</w:t>
      </w:r>
      <w:r>
        <w:rPr>
          <w:rFonts w:cs="Calibri" w:ascii="Calibri" w:hAnsi="Calibri"/>
          <w:sz w:val="22"/>
          <w:rtl w:val="true"/>
        </w:rPr>
        <w:t xml:space="preserve">; </w:t>
      </w:r>
      <w:hyperlink r:id="rId7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1074/14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מישייב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8.2.2015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פסקה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33</w:t>
      </w:r>
      <w:r>
        <w:rPr>
          <w:rFonts w:cs="Calibri" w:ascii="Calibri" w:hAnsi="Calibri"/>
          <w:sz w:val="22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pacing w:val="6"/>
        </w:rPr>
      </w:pPr>
      <w:r>
        <w:rPr>
          <w:rFonts w:ascii="Calibri" w:hAnsi="Calibri" w:cs="Calibri"/>
          <w:spacing w:val="6"/>
          <w:rtl w:val="true"/>
        </w:rPr>
        <w:t>ב</w:t>
      </w:r>
      <w:hyperlink r:id="rId79">
        <w:r>
          <w:rPr>
            <w:rStyle w:val="Hyperlink"/>
            <w:rFonts w:ascii="Calibri" w:hAnsi="Calibri" w:cs="Calibri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6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pacing w:val="6"/>
            <w:u w:val="single"/>
          </w:rPr>
          <w:t>1261/15</w:t>
        </w:r>
      </w:hyperlink>
      <w:r>
        <w:rPr>
          <w:rFonts w:cs="Calibri" w:ascii="Calibri" w:hAnsi="Calibri"/>
          <w:spacing w:val="6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rtl w:val="true"/>
        </w:rPr>
        <w:t>ישראל</w:t>
      </w:r>
      <w:r>
        <w:rPr>
          <w:rFonts w:ascii="Calibri" w:hAnsi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rtl w:val="true"/>
        </w:rPr>
        <w:t>נ</w:t>
      </w:r>
      <w:r>
        <w:rPr>
          <w:rFonts w:cs="Calibri" w:ascii="Calibri" w:hAnsi="Calibri"/>
          <w:b/>
          <w:bCs/>
          <w:spacing w:val="6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rtl w:val="true"/>
        </w:rPr>
        <w:t>יוסף</w:t>
      </w:r>
      <w:r>
        <w:rPr>
          <w:rFonts w:ascii="Calibri" w:hAnsi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rtl w:val="true"/>
        </w:rPr>
        <w:t>דלאל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3.9.2015</w:t>
      </w:r>
      <w:r>
        <w:rPr>
          <w:rFonts w:cs="Calibri" w:ascii="Calibri" w:hAnsi="Calibri"/>
          <w:sz w:val="22"/>
          <w:rtl w:val="true"/>
        </w:rPr>
        <w:t>)</w:t>
      </w:r>
      <w:r>
        <w:rPr>
          <w:rFonts w:cs="Calibri" w:ascii="Calibri" w:hAnsi="Calibri"/>
          <w:spacing w:val="6"/>
          <w:rtl w:val="true"/>
        </w:rPr>
        <w:t xml:space="preserve">, </w:t>
      </w:r>
      <w:r>
        <w:rPr>
          <w:rFonts w:ascii="Calibri" w:hAnsi="Calibri" w:cs="Calibri"/>
          <w:spacing w:val="6"/>
          <w:rtl w:val="true"/>
        </w:rPr>
        <w:t>בית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המשפט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העליון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התייחס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לע</w:t>
      </w:r>
      <w:r>
        <w:rPr>
          <w:rFonts w:cs="Calibri" w:ascii="Calibri" w:hAnsi="Calibri"/>
          <w:spacing w:val="6"/>
          <w:rtl w:val="true"/>
        </w:rPr>
        <w:t>"</w:t>
      </w:r>
      <w:r>
        <w:rPr>
          <w:rFonts w:ascii="Calibri" w:hAnsi="Calibri" w:cs="Calibri"/>
          <w:spacing w:val="6"/>
          <w:rtl w:val="true"/>
        </w:rPr>
        <w:t>פ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ג</w:t>
      </w:r>
      <w:r>
        <w:rPr>
          <w:rFonts w:cs="Calibri" w:ascii="Calibri" w:hAnsi="Calibri"/>
          <w:spacing w:val="6"/>
          <w:rtl w:val="true"/>
        </w:rPr>
        <w:t>'</w:t>
      </w:r>
      <w:r>
        <w:rPr>
          <w:rFonts w:ascii="Calibri" w:hAnsi="Calibri" w:cs="Calibri"/>
          <w:spacing w:val="6"/>
          <w:rtl w:val="true"/>
        </w:rPr>
        <w:t>אבר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לעיל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וקבע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מבחני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עזר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לצורך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יישום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ההלכה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שנקבעה</w:t>
      </w:r>
      <w:r>
        <w:rPr>
          <w:rFonts w:ascii="Calibri" w:hAnsi="Calibri" w:cs="Calibri"/>
          <w:spacing w:val="6"/>
          <w:rtl w:val="true"/>
        </w:rPr>
        <w:t xml:space="preserve"> </w:t>
      </w:r>
      <w:r>
        <w:rPr>
          <w:rFonts w:ascii="Calibri" w:hAnsi="Calibri" w:cs="Calibri"/>
          <w:spacing w:val="6"/>
          <w:rtl w:val="true"/>
        </w:rPr>
        <w:t>שם</w:t>
      </w:r>
      <w:r>
        <w:rPr>
          <w:rFonts w:cs="Calibri" w:ascii="Calibri" w:hAnsi="Calibri"/>
          <w:spacing w:val="6"/>
          <w:rtl w:val="true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כדי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לעמוד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עוצמת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הקשר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שבין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שׂוּמה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לעמוד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נסיבותיו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העובדתיות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העניין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שלפניו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ולבחון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בהן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כדי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להצביע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קשר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הדוק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העבירות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עובדתיות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אלה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מהוות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מבחני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עזר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לקביעת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עוצמת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הקשר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במסגרת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ניתן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לבחון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למשל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ביצוען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מאופיין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בתכנון</w:t>
      </w:r>
      <w:r>
        <w:rPr>
          <w:rFonts w:cs="Calibri" w:ascii="Calibri" w:hAnsi="Calibri"/>
          <w:b/>
          <w:bCs/>
          <w:sz w:val="22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ניתן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להצביע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שיטתיות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בביצוע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העבירות</w:t>
      </w:r>
      <w:r>
        <w:rPr>
          <w:rFonts w:cs="Calibri" w:ascii="Calibri" w:hAnsi="Calibri"/>
          <w:b/>
          <w:bCs/>
          <w:sz w:val="22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התרחשו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בסמיכות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זמן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מקום</w:t>
      </w:r>
      <w:r>
        <w:rPr>
          <w:rFonts w:cs="Calibri" w:ascii="Calibri" w:hAnsi="Calibri"/>
          <w:b/>
          <w:bCs/>
          <w:sz w:val="22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ביצועה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עבירה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אחת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נועד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לאפשר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ביצועה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האחרת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ההימלטות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לאחר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ביצועה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וכיוצא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באלו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עובדתיות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קיומה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נסיבה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אחת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יותר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אלו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(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ואין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רשימה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סגורה</w:t>
      </w:r>
      <w:r>
        <w:rPr>
          <w:rFonts w:cs="Calibri" w:ascii="Calibri" w:hAnsi="Calibri"/>
          <w:b/>
          <w:bCs/>
          <w:sz w:val="22"/>
          <w:rtl w:val="true"/>
        </w:rPr>
        <w:t xml:space="preserve">)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עשוי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להעיד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קשר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הדוק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השונות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המלמד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באירוע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אחד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עסקינן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בבחינת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העובדתיות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ההכרח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להעמיד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לנגד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עיניו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השאלה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השקפה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אירועים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תהא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מלאכותית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באופן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שיגרע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ממהות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העניין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בכללותו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ישקף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סיפור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המעשה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כהווייתו</w:t>
      </w:r>
      <w:r>
        <w:rPr>
          <w:rFonts w:cs="Calibri" w:ascii="Calibri" w:hAnsi="Calibri"/>
          <w:b/>
          <w:bCs/>
          <w:sz w:val="22"/>
          <w:rtl w:val="true"/>
        </w:rPr>
        <w:t xml:space="preserve">"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sz w:val="22"/>
          <w:sz w:val="22"/>
          <w:rtl w:val="true"/>
        </w:rPr>
        <w:t>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פסקה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בפסק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ascii="Calibri" w:hAnsi="Calibri" w:cs="Calibri"/>
          <w:sz w:val="22"/>
          <w:sz w:val="22"/>
          <w:rtl w:val="true"/>
        </w:rPr>
        <w:t>השופט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ascii="Calibri" w:hAnsi="Calibri" w:cs="Calibri"/>
          <w:sz w:val="22"/>
          <w:sz w:val="22"/>
          <w:rtl w:val="true"/>
        </w:rPr>
        <w:t>סולברג</w:t>
      </w:r>
      <w:r>
        <w:rPr>
          <w:rFonts w:cs="Calibri" w:ascii="Calibri" w:hAnsi="Calibri"/>
          <w:sz w:val="22"/>
          <w:rtl w:val="true"/>
        </w:rPr>
        <w:t xml:space="preserve">]. 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בענייננו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נראה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לזה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ומהווים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רצף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פעולות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גישתם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כולל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ביטויים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ולפיכך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להחריגו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המכלול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שכמובן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בדרגת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הנודעת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היעדר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לקרוא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לתוכו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ניכרים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הבדלים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מסוימים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ascii="Calibri" w:hAnsi="Calibri" w:cs="Calibri"/>
          <w:sz w:val="22"/>
          <w:sz w:val="22"/>
          <w:rtl w:val="true"/>
        </w:rPr>
        <w:t>בחלקם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סיוע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בחלקם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ברכוש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בחלקם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הסוו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עצמם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בכובעי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ובחלקם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גלויות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עיקרם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בדפוס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בהבדלים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הפרטניים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לפיכך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ההבדלים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ייקבע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הדפוס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העיקרי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המגולם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במכלול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הנסיבות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העבירות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hyperlink r:id="rId80">
        <w:bookmarkStart w:id="12" w:name="_Ref422991532"/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ג</w:t>
        </w:r>
      </w:hyperlink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81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מתחם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הולם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למעשה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שביצע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בהתאם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לעיקרון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המנחה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8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קיומו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יחס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הולם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חומרת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מעשה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בנסיבותיו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ומידת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אשמו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ובין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סוג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ומידת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המוטל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עליו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 xml:space="preserve">. </w:t>
      </w:r>
      <w:hyperlink r:id="rId8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ג</w:t>
        </w:r>
      </w:hyperlink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ממשיך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בערך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החברתי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שנפגע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מביצוע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העבירה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במידת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הפגיעה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בו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במדיניות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הענישה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הנהוגה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ובנסיבות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הקשורות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בביצוע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כאמור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בסעיף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40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ט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מוזכרות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שעניינן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התכנון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שיעור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הצפוי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שנגרם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יכולת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ההבנה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יכולתו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להימנע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מהמעשה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מצוקתו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הנפשית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גבוליות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דרגת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האכזריות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והניצול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הנפגע</w:t>
      </w:r>
      <w:r>
        <w:rPr>
          <w:rFonts w:cs="Calibri" w:ascii="Calibri" w:hAnsi="Calibri"/>
          <w:sz w:val="22"/>
          <w:rtl w:val="true"/>
        </w:rPr>
        <w:t>.</w:t>
      </w:r>
      <w:bookmarkEnd w:id="12"/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color w:val="FF0000"/>
          <w:sz w:val="22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שעיקרם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color w:val="FF0000"/>
          <w:sz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ולהניאם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מלהתרועע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התאגדות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קהים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sz w:val="22"/>
          <w:rtl w:val="true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כולל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התבטאויות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המשוות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יתירה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cs="Calibri" w:ascii="Calibri" w:hAnsi="Calibri"/>
          <w:sz w:val="22"/>
        </w:rPr>
        <w:t>18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בהתאמה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הצפוי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עקב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מהלומות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מוטות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פטיש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ואלות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אלמוג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מדגימים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היבטים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שנגררו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החבורה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מהאירועים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השתתף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אישית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באלימות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לקורבנותיה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color w:val="FF0000"/>
          <w:sz w:val="22"/>
          <w:szCs w:val="26"/>
          <w:u w:val="single"/>
        </w:rPr>
      </w:pPr>
      <w:r>
        <w:rPr>
          <w:rFonts w:cs="Calibri" w:ascii="Calibri" w:hAnsi="Calibri"/>
          <w:b/>
          <w:bCs/>
          <w:color w:val="FF0000"/>
          <w:sz w:val="22"/>
          <w:szCs w:val="26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וחבלה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פוגעות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בזכותם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להגנה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גופם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ביטחונם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וכבודם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הגזעני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מוסיף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לשוויון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ובערכי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הדמוקרטיה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המטרה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לפגוע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בהתרועעות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ויהודיות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פוגעת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באוטונומיה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יחסים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אישיים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כרצון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יחסים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ליחסים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השבריריים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יהודים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בישראל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לעבירות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פוטנציאל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והרסני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במיוחד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ללכידות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החברתית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שבלעדיה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יכולה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ובשגשוג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בעובדה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פשעי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שנאה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בדרגת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הגבוהה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ביותר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בערכים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בנפגעים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שהתאפיינה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בחבלות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ברכוש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לפיכך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בערכים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בינונית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בשקלול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האישומים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eastAsia="Calibri" w:cs="Calibri"/>
          <w:color w:val="FF0000"/>
          <w:sz w:val="22"/>
        </w:rPr>
      </w:pPr>
      <w:r>
        <w:rPr>
          <w:rFonts w:eastAsia="Calibri" w:cs="Calibri" w:ascii="Calibri" w:hAnsi="Calibri"/>
          <w:color w:val="FF0000"/>
          <w:sz w:val="22"/>
          <w:rtl w:val="true"/>
        </w:rPr>
        <w:t xml:space="preserve"> </w:t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הנהוגה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12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לאומני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נאמר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8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5469/13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פלוני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13.4.2014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פסקה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בפסק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ascii="Calibri" w:hAnsi="Calibri" w:cs="Calibri"/>
          <w:sz w:val="22"/>
          <w:sz w:val="22"/>
          <w:rtl w:val="true"/>
        </w:rPr>
        <w:t>השופט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כתוארו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אז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א</w:t>
      </w:r>
      <w:r>
        <w:rPr>
          <w:rFonts w:cs="Calibri" w:ascii="Calibri" w:hAnsi="Calibri"/>
          <w:sz w:val="22"/>
          <w:rtl w:val="true"/>
        </w:rPr>
        <w:t xml:space="preserve">' </w:t>
      </w:r>
      <w:r>
        <w:rPr>
          <w:rFonts w:ascii="Calibri" w:hAnsi="Calibri" w:cs="Calibri"/>
          <w:sz w:val="22"/>
          <w:sz w:val="22"/>
          <w:rtl w:val="true"/>
        </w:rPr>
        <w:t>רובינשטיין</w:t>
      </w:r>
      <w:r>
        <w:rPr>
          <w:rFonts w:cs="Calibri" w:ascii="Calibri" w:hAnsi="Calibri"/>
          <w:sz w:val="22"/>
          <w:rtl w:val="true"/>
        </w:rPr>
        <w:t>]: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צורך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להכביר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מלים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החומרה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שבהתנהגות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גזענית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אלימה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כעם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היהודי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נוכח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תולדותיו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שצריך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רגיש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לכך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אינו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יכול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לתת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ביטוי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לחומרה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שבהתנהגות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גזענית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אלימה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כלפי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הזולת</w:t>
      </w:r>
      <w:r>
        <w:rPr>
          <w:rFonts w:cs="Calibri" w:ascii="Calibri" w:hAnsi="Calibri"/>
          <w:b/>
          <w:bCs/>
          <w:sz w:val="22"/>
          <w:rtl w:val="true"/>
        </w:rPr>
        <w:t>; 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דעלך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סני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לחברך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תעביד</w:t>
      </w:r>
      <w:r>
        <w:rPr>
          <w:rFonts w:cs="Calibri" w:ascii="Calibri" w:hAnsi="Calibri"/>
          <w:b/>
          <w:bCs/>
          <w:sz w:val="22"/>
          <w:rtl w:val="true"/>
        </w:rPr>
        <w:t>' (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שעליך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שנוא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לחברך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תעשה</w:t>
      </w:r>
      <w:r>
        <w:rPr>
          <w:rFonts w:cs="Calibri" w:ascii="Calibri" w:hAnsi="Calibri"/>
          <w:b/>
          <w:bCs/>
          <w:sz w:val="22"/>
          <w:rtl w:val="true"/>
        </w:rPr>
        <w:t xml:space="preserve">),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כדברי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התנא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הלל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(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בבלי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שבת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</w:t>
      </w:r>
      <w:r>
        <w:rPr>
          <w:rFonts w:cs="Calibri" w:ascii="Calibri" w:hAnsi="Calibri"/>
          <w:b/>
          <w:bCs/>
          <w:sz w:val="22"/>
          <w:rtl w:val="true"/>
        </w:rPr>
        <w:t xml:space="preserve">).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צורך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ברטוריקה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רבה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בעניין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זה</w:t>
      </w:r>
      <w:r>
        <w:rPr>
          <w:rFonts w:cs="Calibri" w:ascii="Calibri" w:hAnsi="Calibri"/>
          <w:b/>
          <w:bCs/>
          <w:sz w:val="22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ומעבר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לכך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כבוד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הזולת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יהא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אשר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יהא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צריך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טבוע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בצופן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הגנטי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אדם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ובערכים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שמקנים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ביתו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ספרו</w:t>
      </w:r>
      <w:r>
        <w:rPr>
          <w:rFonts w:cs="Calibri" w:ascii="Calibri" w:hAnsi="Calibri"/>
          <w:b/>
          <w:bCs/>
          <w:sz w:val="22"/>
          <w:rtl w:val="true"/>
        </w:rPr>
        <w:t>; 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חביב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אדם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שנברא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בצלם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אמרו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חכמים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(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התנא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עקיבא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משנה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</w:t>
      </w:r>
      <w:r>
        <w:rPr>
          <w:rFonts w:cs="Calibri" w:ascii="Calibri" w:hAnsi="Calibri"/>
          <w:b/>
          <w:bCs/>
          <w:sz w:val="22"/>
          <w:rtl w:val="true"/>
        </w:rPr>
        <w:t xml:space="preserve">),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ועוד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אמרו</w:t>
      </w:r>
      <w:r>
        <w:rPr>
          <w:rFonts w:cs="Calibri" w:ascii="Calibri" w:hAnsi="Calibri"/>
          <w:b/>
          <w:bCs/>
          <w:sz w:val="22"/>
          <w:rtl w:val="true"/>
        </w:rPr>
        <w:t>, 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איזהו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מכובד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המכבד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הבריות</w:t>
      </w:r>
      <w:r>
        <w:rPr>
          <w:rFonts w:cs="Calibri" w:ascii="Calibri" w:hAnsi="Calibri"/>
          <w:b/>
          <w:bCs/>
          <w:sz w:val="22"/>
          <w:rtl w:val="true"/>
        </w:rPr>
        <w:t>' (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משנה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ד</w:t>
      </w:r>
      <w:r>
        <w:rPr>
          <w:rFonts w:cs="Calibri" w:ascii="Calibri" w:hAnsi="Calibri"/>
          <w:b/>
          <w:bCs/>
          <w:sz w:val="22"/>
          <w:rtl w:val="true"/>
        </w:rPr>
        <w:t xml:space="preserve">',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</w:t>
      </w:r>
      <w:r>
        <w:rPr>
          <w:rFonts w:cs="Calibri" w:ascii="Calibri" w:hAnsi="Calibri"/>
          <w:b/>
          <w:bCs/>
          <w:sz w:val="22"/>
          <w:rtl w:val="true"/>
        </w:rPr>
        <w:t xml:space="preserve">',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מפי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התנא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זומא</w:t>
      </w:r>
      <w:r>
        <w:rPr>
          <w:rFonts w:cs="Calibri" w:ascii="Calibri" w:hAnsi="Calibri"/>
          <w:b/>
          <w:bCs/>
          <w:sz w:val="22"/>
          <w:rtl w:val="true"/>
        </w:rPr>
        <w:t xml:space="preserve">).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כבר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אמר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השופט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לוי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התפרעויות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המונים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בכלל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רקע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לאומני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בפרט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צריכות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לזכות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לתגובה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עונשית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קשה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וכואבת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יהיה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מוצאם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המתפרעים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אשר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יהיה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נוהגת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חוק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וכך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זכאים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לצפות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הבאים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בשעריו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cs="Calibri" w:ascii="Calibri" w:hAnsi="Calibri"/>
          <w:b/>
          <w:bCs/>
          <w:sz w:val="22"/>
          <w:rtl w:val="true"/>
        </w:rPr>
        <w:t>' (</w:t>
      </w:r>
      <w:hyperlink r:id="rId85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b/>
            <w:bCs/>
            <w:color w:val="0000FF"/>
            <w:sz w:val="22"/>
            <w:u w:val="single"/>
          </w:rPr>
          <w:t>2285/05</w:t>
        </w:r>
      </w:hyperlink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חאמד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(</w:t>
      </w:r>
      <w:r>
        <w:rPr>
          <w:rFonts w:cs="Calibri" w:ascii="Calibri" w:hAnsi="Calibri"/>
          <w:b/>
          <w:bCs/>
          <w:sz w:val="22"/>
        </w:rPr>
        <w:t>2005</w:t>
      </w:r>
      <w:r>
        <w:rPr>
          <w:rFonts w:cs="Calibri" w:ascii="Calibri" w:hAnsi="Calibri"/>
          <w:b/>
          <w:bCs/>
          <w:sz w:val="22"/>
          <w:rtl w:val="true"/>
        </w:rPr>
        <w:t xml:space="preserve">)).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עברות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כאלה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חותרות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תחת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עצם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מהותנו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חוק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כמדינה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יהודית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ודמוקרטית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תולדותיה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המיעוט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הלא</w:t>
      </w:r>
      <w:r>
        <w:rPr>
          <w:rFonts w:cs="Calibri" w:ascii="Calibri" w:hAnsi="Calibri"/>
          <w:b/>
          <w:bCs/>
          <w:sz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יהודי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הגדול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בתוכה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אכן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משקלן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הציבורי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הכבד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להטיל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כתפי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המערערים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הקטינים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ולכך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ניתן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ביטוי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קמא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ויינתן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ביטוי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כאן</w:t>
      </w:r>
      <w:r>
        <w:rPr>
          <w:rFonts w:cs="Calibri" w:ascii="Calibri" w:hAnsi="Calibri"/>
          <w:b/>
          <w:bCs/>
          <w:sz w:val="22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רואה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להציע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פטור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בלא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כלום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במובן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מאסר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צ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אין</w:t>
      </w:r>
      <w:r>
        <w:rPr>
          <w:rFonts w:cs="Calibri" w:ascii="Calibri" w:hAnsi="Calibri"/>
          <w:sz w:val="22"/>
          <w:rtl w:val="true"/>
        </w:rPr>
        <w:t xml:space="preserve">" – </w:t>
      </w:r>
      <w:r>
        <w:rPr>
          <w:rFonts w:ascii="Calibri" w:hAnsi="Calibri" w:cs="Calibri"/>
          <w:sz w:val="22"/>
          <w:sz w:val="22"/>
          <w:rtl w:val="true"/>
        </w:rPr>
        <w:t>ש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פ</w:t>
      </w:r>
      <w:r>
        <w:rPr>
          <w:rFonts w:cs="Calibri" w:ascii="Calibri" w:hAnsi="Calibri"/>
          <w:sz w:val="22"/>
          <w:rtl w:val="true"/>
        </w:rPr>
        <w:t>)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מנוס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ככלל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מהשתת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מאסר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בפועל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בתיקי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גזענות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בתוך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עמו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יושב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ועליו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האחריות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כשהמדובר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בקטינים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כמובן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תוך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התחשבות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בפן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האינדיבידואלי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ובפן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השיקומי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b/>
          <w:bCs/>
          <w:sz w:val="22"/>
          <w:rtl w:val="true"/>
        </w:rPr>
        <w:t xml:space="preserve">...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שקול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יישמע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ברבים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לרבות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הספר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13" w:name="_Ref5911960"/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8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5634/16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שחר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27.10.2016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תקיפה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היזק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בזדון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וניסיון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בזדון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ציבור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לאחרים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ויחד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מוצאו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הערבי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הכוהו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בקרש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והתיזו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מדמיע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שבהם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הצטיידו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מראש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מדמיע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בסמוך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יידו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וחבריו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משאית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שעליה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כיתוב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בערבית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ופגעו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השלישי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השחיתו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שייכים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לערבים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המחוזי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מתחמי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עונש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הולם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של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12-5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הגופנית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המקרים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במצטבר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  <w:u w:val="single"/>
        </w:rPr>
        <w:t>10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המחוזי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לחרוג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למרות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המוצלח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הצורך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הולמת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ומרתיעה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לאומני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בערעור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התערב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במתחמים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ובעונש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וציין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מקל</w:t>
      </w:r>
      <w:r>
        <w:rPr>
          <w:rFonts w:cs="Calibri" w:ascii="Calibri" w:hAnsi="Calibri"/>
          <w:sz w:val="22"/>
          <w:rtl w:val="true"/>
        </w:rPr>
        <w:t>.</w:t>
      </w:r>
      <w:bookmarkEnd w:id="13"/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פרשה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לענייננו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בהכילה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פיזית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8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4609/14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צורדרקר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בסט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1.3.2015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בניסיון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לתקיפת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בפומבי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הבריכה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זכוכית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קריאות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וגרימת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ועלבון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ציבורי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מתחם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עונש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הולם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של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42-12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9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מענייננו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בהתפרצות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ספונטאנית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ובניסיון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התממש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צדדים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יתירה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מענייננו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ascii="Calibri" w:hAnsi="Calibri" w:cs="Calibri"/>
          <w:sz w:val="22"/>
          <w:sz w:val="22"/>
          <w:rtl w:val="true"/>
        </w:rPr>
        <w:t>הנפגע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תפקיד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בפומבי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בניסיון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8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333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8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90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sz w:val="22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rtl w:val="true"/>
        </w:rPr>
        <w:t>בניגוד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לענייננו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תקיפה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יצוין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בפרשה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התערבות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המחוזי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ולפיכך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לפסק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תקדימי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מיוחד</w:t>
      </w:r>
      <w:r>
        <w:rPr>
          <w:rFonts w:cs="Calibri" w:ascii="Calibri" w:hAnsi="Calibri"/>
          <w:sz w:val="22"/>
          <w:rtl w:val="true"/>
        </w:rPr>
        <w:t>.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91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7006/14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תורג</w:t>
      </w:r>
      <w:r>
        <w:rPr>
          <w:rFonts w:cs="Calibri" w:ascii="Calibri" w:hAnsi="Calibri"/>
          <w:b/>
          <w:bCs/>
          <w:sz w:val="22"/>
          <w:rtl w:val="true"/>
        </w:rPr>
        <w:t>'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23.3.2015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תקיפה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וגניבה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נתינים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ממוצא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סודני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ואריתראי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המתלוננים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רכב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אופניו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רדפו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רכבם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שנדחק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הדרך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חפץ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מתלונן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נטש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אופניו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פחד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נטלו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חטפו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ממתלונן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מכשיר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טלפון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והכו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בראשו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זכוכית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התנפץ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בראש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המתלונן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השלישי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איימו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חפץ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מתלונן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נטש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אופניו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נטלו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המחוזי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מתחמי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עונש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הולם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של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18-8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בגין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האירועים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הראשון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והשלישי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ו</w:t>
      </w:r>
      <w:r>
        <w:rPr>
          <w:rFonts w:cs="Calibri" w:ascii="Calibri" w:hAnsi="Calibri"/>
          <w:sz w:val="22"/>
          <w:u w:val="single"/>
          <w:rtl w:val="true"/>
        </w:rPr>
        <w:t>-</w:t>
      </w:r>
      <w:r>
        <w:rPr>
          <w:rFonts w:cs="Calibri" w:ascii="Calibri" w:hAnsi="Calibri"/>
          <w:sz w:val="22"/>
          <w:u w:val="single"/>
        </w:rPr>
        <w:t>48-18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בגין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האירוע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השני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שנתיים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ערעורם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לעודדם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התסקירים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החיוביים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והפחית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cs="Calibri" w:ascii="Calibri" w:hAnsi="Calibri"/>
          <w:sz w:val="22"/>
          <w:u w:val="single"/>
        </w:rPr>
        <w:t>14</w:t>
      </w:r>
      <w:r>
        <w:rPr>
          <w:rFonts w:cs="Calibri" w:ascii="Calibri" w:hAnsi="Calibri"/>
          <w:sz w:val="22"/>
          <w:u w:val="single"/>
          <w:rtl w:val="true"/>
        </w:rPr>
        <w:t xml:space="preserve">, </w:t>
      </w:r>
      <w:r>
        <w:rPr>
          <w:rFonts w:cs="Calibri" w:ascii="Calibri" w:hAnsi="Calibri"/>
          <w:sz w:val="22"/>
          <w:u w:val="single"/>
        </w:rPr>
        <w:t>21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ו</w:t>
      </w:r>
      <w:r>
        <w:rPr>
          <w:rFonts w:cs="Calibri" w:ascii="Calibri" w:hAnsi="Calibri"/>
          <w:sz w:val="22"/>
          <w:u w:val="single"/>
          <w:rtl w:val="true"/>
        </w:rPr>
        <w:t>-</w:t>
      </w:r>
      <w:r>
        <w:rPr>
          <w:rFonts w:cs="Calibri" w:ascii="Calibri" w:hAnsi="Calibri"/>
          <w:sz w:val="22"/>
          <w:u w:val="single"/>
        </w:rPr>
        <w:t>17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בהתאמה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התייחסות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למתחמים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בפרשה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פוטנציאל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מניפוץ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בקבוק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זכוכית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מהמתלוננים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הגניבה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הנלוות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14" w:name="_Ref5913610"/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9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9507/11</w:t>
        </w:r>
      </w:hyperlink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סביליה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4.4.2012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הנאשמת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שוטרת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הורשעה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בהתעללות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פזיזות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ורשלנות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ממוצא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ערבי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תפקידה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הידקה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אזיקיו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איימה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כיסתה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והצמידה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מחסנית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לצווארו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הערבית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הכניסה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לכיס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מעילו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המונח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הצמידה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לאוזנו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והשמיעה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רעש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יחשוב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שבכוונתה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להדליק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הנפץ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ראשו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באגרופים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וסטירות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בראשו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ובכתפיו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המשיכה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ששוטר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לחדול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המחוזי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3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בפועל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ו</w:t>
      </w:r>
      <w:r>
        <w:rPr>
          <w:rFonts w:cs="Calibri" w:ascii="Calibri" w:hAnsi="Calibri"/>
          <w:sz w:val="22"/>
          <w:u w:val="single"/>
          <w:rtl w:val="true"/>
        </w:rPr>
        <w:t>-</w:t>
      </w:r>
      <w:r>
        <w:rPr>
          <w:rFonts w:cs="Calibri" w:ascii="Calibri" w:hAnsi="Calibri"/>
          <w:sz w:val="22"/>
          <w:u w:val="single"/>
        </w:rPr>
        <w:t>3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בעבודות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ערערו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וציין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ייתכן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שכערכאה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דיונית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בהרבה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בוצעו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תפקידה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כאוכפת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שנמסרו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למילוי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תפקידה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מצד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יחיד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חוזרים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כבענייננו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חשיפתה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הטראומטית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>.</w:t>
      </w:r>
      <w:bookmarkEnd w:id="14"/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פסק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לתיקון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113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93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פסיקה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שאליה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הפנתה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9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9040/05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אוחיון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7.12.2006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צעירים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cs="Calibri" w:ascii="Calibri" w:hAnsi="Calibri"/>
          <w:sz w:val="22"/>
        </w:rPr>
        <w:t>21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הורשעו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ניהול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הוכחות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בחבלה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בכוונה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מחמירה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שסברו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ערבי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הסתערו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מאחור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השכיבו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הקרקע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ריססו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מדמיע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וחבטו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באגרופים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ובעיטות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קוראים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קריאות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המותקף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טועים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בזיהוי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המותקף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ערבי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בתגובה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החבורה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החבר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וחבריהם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המשיכו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האדם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איימו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להרגו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ולקחו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ארנקו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המותקף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ונגרמו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וחתכים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בפניו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ובשאר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באף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נגזרו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התחשבות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הגזעני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ובתכנון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המוקדם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בשונה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התנהל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הוכחות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ותוצאתם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מבענייננו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9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3450/16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פלוני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7.8.2016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קטין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17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מחמירות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היזק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בזדון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ניסיון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בזדון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וניסיון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תקיפה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בתקיפת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ציבור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ובשיבוש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מהלכי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משפט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9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5634/16</w:t>
        </w:r>
      </w:hyperlink>
      <w:r>
        <w:rPr>
          <w:rFonts w:cs="Calibri" w:ascii="Calibri" w:hAnsi="Calibri"/>
          <w:sz w:val="22"/>
          <w:rtl w:val="true"/>
        </w:rPr>
        <w:t xml:space="preserve"> [</w:t>
      </w:r>
      <w:r>
        <w:rPr>
          <w:rFonts w:ascii="Calibri" w:hAnsi="Calibri" w:cs="Calibri"/>
          <w:sz w:val="22"/>
          <w:sz w:val="22"/>
          <w:rtl w:val="true"/>
        </w:rPr>
        <w:t>כלעיל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בפסקה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</w:rPr>
        <w:t>‎</w:t>
      </w:r>
      <w:r>
        <w:rPr>
          <w:rFonts w:cs="David" w:ascii="David" w:hAnsi="David"/>
          <w:sz w:val="22"/>
        </w:rPr>
        <w:t>92</w:t>
      </w:r>
      <w:r>
        <w:rPr>
          <w:rFonts w:cs="Calibri" w:ascii="Calibri" w:hAnsi="Calibri"/>
          <w:sz w:val="22"/>
          <w:rtl w:val="true"/>
        </w:rPr>
        <w:t xml:space="preserve">], </w:t>
      </w:r>
      <w:r>
        <w:rPr>
          <w:rFonts w:ascii="Calibri" w:hAnsi="Calibri" w:cs="Calibri"/>
          <w:sz w:val="22"/>
          <w:sz w:val="22"/>
          <w:rtl w:val="true"/>
        </w:rPr>
        <w:t>מלבד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נוספים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יידוי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עימותים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יהודים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במאחז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יהודי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ששירת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בחטמ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מודיעין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שממנו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קיבל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בנוגע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לחשדות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נגזרו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בשונה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שיבוש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הליכי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חקירה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קטין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באחריותו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ועמדותיו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הגזעניות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נחזו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להיוותר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בעינן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גדול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נאלץ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ניתוחים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15" w:name="_Ref5268965"/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>-</w:t>
      </w:r>
      <w:hyperlink r:id="rId9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ח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35048-04-17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רז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עמיצור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5.11.2018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שותפם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דנן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בנוסף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שאותן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דנן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נוסף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שבמסגרתו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דקר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סכין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צלעותיו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בטנו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וידיו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ערבי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שהתרועע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יהודייה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בעקבות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לנפגע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קרע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ודימום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בכליה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שעמיצור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הרוח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החיה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מאחורי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5.5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בהרבה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מענייננו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ביקשה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מותאם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והכרה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באחריות</w:t>
      </w:r>
      <w:r>
        <w:rPr>
          <w:rFonts w:cs="Calibri" w:ascii="Calibri" w:hAnsi="Calibri"/>
          <w:sz w:val="22"/>
          <w:rtl w:val="true"/>
        </w:rPr>
        <w:t>.</w:t>
      </w:r>
      <w:bookmarkEnd w:id="15"/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פסיקה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שאליה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הפנתה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</w:rPr>
        <w:t>ההגנה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שלהלן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9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3183/16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עופרי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8.3.2017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בתקיפה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מחמירות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ובהיזק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בזדון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התנכלו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למתלוננים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מוצאם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הערבי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ברזל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ויעה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העליון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חרף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כאן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בסדרת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כבענייננו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hyperlink r:id="rId9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18119-01-14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סיאם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10.6.2018</w:t>
      </w:r>
      <w:r>
        <w:rPr>
          <w:rFonts w:cs="Calibri" w:ascii="Calibri" w:hAnsi="Calibri"/>
          <w:sz w:val="22"/>
          <w:rtl w:val="true"/>
        </w:rPr>
        <w:t>)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בתקיפה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מחמירות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וכעשרים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תקפו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מתלוננים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חזות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חרדית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יידו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לעברם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שפגעו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בפניהם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היכו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ובעטו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המתלוננים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במדרגות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כתוצאה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ושניהם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סבלו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מחבלות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6</w:t>
      </w:r>
      <w:r>
        <w:rPr>
          <w:rFonts w:cs="Calibri" w:ascii="Calibri" w:hAnsi="Calibri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חודשי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מאסר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>.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ומנגד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משקל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לחלוף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מהעבירה</w:t>
      </w:r>
      <w:r>
        <w:rPr>
          <w:rFonts w:cs="Calibri" w:ascii="Calibri" w:hAnsi="Calibri"/>
          <w:sz w:val="22"/>
          <w:rtl w:val="true"/>
        </w:rPr>
        <w:t>.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נלקח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לשותפיו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הקטינים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שהומר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לבקשת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הוער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להחמיר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בגיר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בסדרת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כבענייננו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>-</w:t>
      </w:r>
      <w:hyperlink r:id="rId10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9507/11</w:t>
        </w:r>
      </w:hyperlink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סב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ליה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4.4.2012</w:t>
      </w:r>
      <w:r>
        <w:rPr>
          <w:rFonts w:cs="Calibri" w:ascii="Calibri" w:hAnsi="Calibri"/>
          <w:sz w:val="22"/>
          <w:rtl w:val="true"/>
        </w:rPr>
        <w:t>) [</w:t>
      </w:r>
      <w:r>
        <w:rPr>
          <w:rFonts w:ascii="Calibri" w:hAnsi="Calibri" w:cs="Calibri"/>
          <w:sz w:val="22"/>
          <w:sz w:val="22"/>
          <w:rtl w:val="true"/>
        </w:rPr>
        <w:t>כלעיל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בפסקה</w:t>
      </w:r>
      <w:r>
        <w:rPr>
          <w:rFonts w:ascii="Times New Roman" w:hAnsi="Times New Roman" w:cs="Times New Roman"/>
          <w:sz w:val="22"/>
          <w:sz w:val="22"/>
        </w:rPr>
        <w:t>‎</w:t>
      </w:r>
      <w:r>
        <w:rPr>
          <w:rFonts w:cs="David" w:ascii="David" w:hAnsi="David"/>
          <w:sz w:val="22"/>
        </w:rPr>
        <w:t>95</w:t>
      </w:r>
      <w:r>
        <w:rPr>
          <w:rFonts w:cs="Calibri" w:ascii="Calibri" w:hAnsi="Calibri"/>
          <w:sz w:val="22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  <w:sz w:val="22"/>
          <w:szCs w:val="26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כ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הפנתה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לפסיקה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הנהוגה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cs="Calibri" w:ascii="Calibri" w:hAnsi="Calibri"/>
          <w:b/>
          <w:bCs/>
          <w:sz w:val="22"/>
          <w:szCs w:val="26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שהוטל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חברי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הנאשמים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לביצוע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העבירות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  <w:szCs w:val="26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בסקירת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שהוזכרו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13-12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שבעקיפין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10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33594-04-17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דזאנשוילי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4.6.2018</w:t>
      </w:r>
      <w:r>
        <w:rPr>
          <w:rFonts w:cs="David" w:ascii="David" w:hAnsi="David"/>
          <w:rtl w:val="true"/>
        </w:rPr>
        <w:t xml:space="preserve">); </w:t>
      </w:r>
      <w:hyperlink r:id="rId10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34535-04-17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1.2.2018</w:t>
      </w:r>
      <w:r>
        <w:rPr>
          <w:rFonts w:cs="David" w:ascii="David" w:hAnsi="David"/>
          <w:rtl w:val="true"/>
        </w:rPr>
        <w:t>)</w:t>
      </w:r>
      <w:r>
        <w:rPr>
          <w:rFonts w:cs="Calibri" w:ascii="Calibri" w:hAnsi="Calibri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cs="Calibri" w:ascii="Calibri" w:hAnsi="Calibri"/>
          <w:b/>
          <w:bCs/>
          <w:sz w:val="22"/>
          <w:szCs w:val="26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סיכום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120"/>
        <w:ind w:hanging="0" w:start="0" w:end="0"/>
        <w:jc w:val="both"/>
        <w:rPr>
          <w:sz w:val="22"/>
          <w:u w:val="single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שהמניע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הגזעני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מרביים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בחבורה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במועדים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הצטיידות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הסוואה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גזעני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בינונית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בינונית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המקובץ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הנוהגת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36-12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לכל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מתחמי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ההולם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בתוך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מתחם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ההולם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יגזור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בית</w:t>
      </w:r>
      <w:r>
        <w:rPr>
          <w:rFonts w:cs="Calibri" w:ascii="Calibri" w:hAnsi="Calibri"/>
          <w:b/>
          <w:bCs/>
          <w:sz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המתאים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לנאשם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בהתחשב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שאינן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קשורות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בביצוע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כאמור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בסעיף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40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יא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cs="Calibri" w:ascii="Calibri" w:hAnsi="Calibri"/>
          <w:sz w:val="22"/>
          <w:rtl w:val="true"/>
        </w:rPr>
        <w:t xml:space="preserve"> [</w:t>
      </w:r>
      <w:hyperlink r:id="rId103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hyperlink r:id="rId10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)]</w:t>
        </w:r>
      </w:hyperlink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קרי</w:t>
      </w:r>
      <w:r>
        <w:rPr>
          <w:rFonts w:cs="Calibri" w:ascii="Calibri" w:hAnsi="Calibri"/>
          <w:sz w:val="22"/>
          <w:rtl w:val="true"/>
        </w:rPr>
        <w:t xml:space="preserve">: </w:t>
      </w:r>
      <w:r>
        <w:rPr>
          <w:rFonts w:ascii="Calibri" w:hAnsi="Calibri" w:cs="Calibri"/>
          <w:sz w:val="22"/>
          <w:sz w:val="22"/>
          <w:rtl w:val="true"/>
        </w:rPr>
        <w:t>בפגיעה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ובמשפחתו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בנזקים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שנגרמו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עקב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וההרשעה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בנטילת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האחריות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וניסיונו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למוטב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בניסיונותיו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לתקן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תוצאות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בשיתוף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רשויות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אכיפת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בהתנהגותו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החיובית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ותרומתו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לחברה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רלבנטיות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בהתנהגותן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רשויות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אכיפת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בחלוף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כמו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רשאי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הרתעה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וציבוריים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שם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סעיפים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05"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ו</w:t>
        </w:r>
      </w:hyperlink>
      <w:r>
        <w:rPr>
          <w:rFonts w:cs="Calibri" w:ascii="Calibri" w:hAnsi="Calibri"/>
          <w:sz w:val="22"/>
          <w:rtl w:val="true"/>
        </w:rPr>
        <w:t>-</w:t>
      </w:r>
      <w:hyperlink r:id="rId106"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ז</w:t>
        </w:r>
      </w:hyperlink>
      <w:r>
        <w:rPr>
          <w:rFonts w:cs="Calibri" w:ascii="Calibri" w:hAnsi="Calibri"/>
          <w:sz w:val="22"/>
          <w:rtl w:val="true"/>
        </w:rPr>
        <w:t>].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u w:val="single"/>
          <w:rtl w:val="true"/>
        </w:rPr>
        <w:t>הנאשם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פלילי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גדל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והתחנך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במשפחה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הכיר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מסויג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רבה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ומדבריו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התרשמתי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מדובר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אמתית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וכנה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הצבאי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ומסלול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מאמץ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למסלול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בהחזרתו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לכלא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u w:val="single"/>
          <w:rtl w:val="true"/>
        </w:rPr>
        <w:t>הנאשם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לימודיו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נגדעו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בלימודיו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בכיתה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שתכנן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וקיפח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גיוסו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לצה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כעתודאי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מסלול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השתבש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ולהרשעתו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צפויות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השלכות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נוספות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בעתיד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שיתף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פעולה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באופן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הטיפול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המליץ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החזרתו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לכלא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מאמצים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חייו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למסלול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נורמטיבי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לפנינו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התרשמתי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הדברים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בנוסף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לאמור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הפקיד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לצורך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למרות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שהמדינה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דרשה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טיעוניה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לעונש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מלמד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החרטה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והכרתם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באחריות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למעשיהם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color w:val="FF0000"/>
          <w:sz w:val="22"/>
        </w:rPr>
      </w:pPr>
      <w:r>
        <w:rPr>
          <w:rFonts w:cs="Calibri" w:ascii="Calibri" w:hAnsi="Calibri"/>
          <w:color w:val="FF0000"/>
          <w:sz w:val="22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הכולל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ומידת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[</w:t>
      </w:r>
      <w:hyperlink r:id="rId10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</w:t>
      </w:r>
      <w:hyperlink r:id="rId108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sz w:val="22"/>
          <w:rtl w:val="true"/>
        </w:rPr>
        <w:t xml:space="preserve">]. </w:t>
      </w:r>
      <w:r>
        <w:rPr>
          <w:rFonts w:ascii="Calibri" w:hAnsi="Calibri" w:cs="Calibri"/>
          <w:sz w:val="22"/>
          <w:sz w:val="22"/>
          <w:rtl w:val="true"/>
        </w:rPr>
        <w:t>הימצאותו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בתוככי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ומדיניות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המחמירה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ממניע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גזעני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מצאתי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לחרוג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color w:val="FF0000"/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בשקלול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זהה</w:t>
      </w:r>
      <w:r>
        <w:rPr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נוכח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בעבירה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גילם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הצעיר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המלצות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והפקדת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לנפגעים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בתחתיתו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המקובץ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לגזור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כולל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מעצרם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rtl w:val="true"/>
        </w:rPr>
        <w:t>המאשימה לא ביקשה להוסיף על עונש המאסר גם פסילת רישיון הנהיגה של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 לא יוטל עליהם עונש נוסף כאמור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cs="Calibri" w:ascii="Calibri" w:hAnsi="Calibri"/>
          <w:b/>
          <w:bCs/>
          <w:sz w:val="22"/>
          <w:szCs w:val="26"/>
          <w:u w:val="single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  <w:szCs w:val="26"/>
          <w:u w:val="single"/>
        </w:rPr>
      </w:pP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פיצוי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6"/>
          <w:u w:val="single"/>
          <w:rtl w:val="true"/>
        </w:rPr>
        <w:t>לנפגעים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16" w:name="_Ref474225940"/>
      <w:bookmarkEnd w:id="16"/>
      <w:r>
        <w:rPr>
          <w:rFonts w:ascii="Calibri" w:hAnsi="Calibri" w:cs="Calibri"/>
          <w:sz w:val="22"/>
          <w:sz w:val="22"/>
          <w:rtl w:val="true"/>
        </w:rPr>
        <w:t>המאשימה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עתרה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לנפגעי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rtl w:val="true"/>
        </w:rPr>
        <w:t>הן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עיקרון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אחידות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עמיצור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נפסק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פיצוי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הן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שהנפגעים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מעורבים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בהליך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וחלקם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מוכר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למאשימה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בהמלצת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הפקיד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בעניינם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המעורבים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המתואר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הראשון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נפסק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פיצוי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bookmarkStart w:id="17" w:name="_Ref474225940"/>
      <w:bookmarkEnd w:id="17"/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המקובץ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להסתפק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בסכום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שהופקד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ולהורות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הסכומים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שהופקדו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למתלוננים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שפרטיהם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ידועים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למאשימה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color w:val="FF0000"/>
          <w:sz w:val="22"/>
        </w:rPr>
      </w:pPr>
      <w:r>
        <w:rPr>
          <w:rFonts w:cs="Calibri" w:ascii="Calibri" w:hAnsi="Calibri"/>
          <w:color w:val="FF0000"/>
          <w:sz w:val="22"/>
          <w:rtl w:val="true"/>
        </w:rPr>
      </w:r>
    </w:p>
    <w:p>
      <w:pPr>
        <w:pStyle w:val="Normal"/>
        <w:keepNext w:val="true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Cs w:val="26"/>
          <w:u w:val="single"/>
        </w:rPr>
      </w:pP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Cs w:val="26"/>
          <w:u w:val="single"/>
          <w:rtl w:val="true"/>
        </w:rPr>
        <w:t>סיכום</w:t>
      </w:r>
    </w:p>
    <w:p>
      <w:pPr>
        <w:pStyle w:val="Normal"/>
        <w:keepNext w:val="true"/>
        <w:widowControl w:val="false"/>
        <w:numPr>
          <w:ilvl w:val="0"/>
          <w:numId w:val="2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המקובץ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גוזרים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מהנאשמים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כלהלן</w:t>
      </w:r>
      <w:r>
        <w:rPr>
          <w:rFonts w:cs="Calibri" w:ascii="Calibri" w:hAnsi="Calibri"/>
          <w:sz w:val="22"/>
          <w:rtl w:val="true"/>
        </w:rPr>
        <w:t>: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357" w:start="71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בניכוי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u w:val="single"/>
          <w:rtl w:val="true"/>
        </w:rPr>
        <w:t>הנאשם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1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עצור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6.4.17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15.6.17</w:t>
      </w:r>
      <w:r>
        <w:rPr>
          <w:rFonts w:cs="Calibri" w:ascii="Calibri" w:hAnsi="Calibri"/>
          <w:sz w:val="22"/>
          <w:rtl w:val="true"/>
        </w:rPr>
        <w:t xml:space="preserve">; </w:t>
      </w:r>
      <w:r>
        <w:rPr>
          <w:rFonts w:ascii="Calibri" w:hAnsi="Calibri" w:cs="Calibri"/>
          <w:sz w:val="22"/>
          <w:sz w:val="22"/>
          <w:u w:val="single"/>
          <w:rtl w:val="true"/>
        </w:rPr>
        <w:t>והנאשם</w:t>
      </w:r>
      <w:r>
        <w:rPr>
          <w:rFonts w:ascii="Calibri" w:hAnsi="Calibri" w:cs="Calibri"/>
          <w:sz w:val="22"/>
          <w:sz w:val="22"/>
          <w:u w:val="single"/>
          <w:rtl w:val="true"/>
        </w:rPr>
        <w:t xml:space="preserve"> </w:t>
      </w:r>
      <w:r>
        <w:rPr>
          <w:rFonts w:cs="Calibri" w:ascii="Calibri" w:hAnsi="Calibri"/>
          <w:sz w:val="22"/>
          <w:u w:val="single"/>
        </w:rPr>
        <w:t>2</w:t>
      </w:r>
      <w:r>
        <w:rPr>
          <w:rFonts w:cs="Calibri" w:ascii="Calibri" w:hAnsi="Calibri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5.4.17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15.6.17</w:t>
      </w:r>
      <w:r>
        <w:rPr>
          <w:rFonts w:cs="Calibri" w:ascii="Calibri" w:hAnsi="Calibri"/>
          <w:sz w:val="22"/>
          <w:rtl w:val="true"/>
        </w:rPr>
        <w:t>).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357" w:start="71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 מאסר על תנאי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אם יעברו הנאשמים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 xml:space="preserve">תוך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שנים משחרורם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עבירה מן העבירות שבהן הורשעו בתיק זה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hanging="357" w:start="714" w:end="0"/>
        <w:jc w:val="both"/>
        <w:rPr>
          <w:rFonts w:ascii="Calibri" w:hAnsi="Calibri" w:cs="Calibri"/>
          <w:sz w:val="22"/>
        </w:rPr>
      </w:pPr>
      <w:r>
        <w:rPr>
          <w:rFonts w:eastAsia="Calibri" w:cs="Calibri" w:ascii="Calibri" w:hAnsi="Calibri"/>
          <w:sz w:val="22"/>
          <w:rtl w:val="true"/>
        </w:rPr>
        <w:t xml:space="preserve">    </w:t>
      </w:r>
      <w:r>
        <w:rPr>
          <w:rFonts w:ascii="Calibri" w:hAnsi="Calibri" w:cs="Calibri"/>
          <w:sz w:val="22"/>
          <w:sz w:val="22"/>
          <w:rtl w:val="true"/>
        </w:rPr>
        <w:t>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לנפגעי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שיחולקו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בשווה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נפגעי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</w:t>
      </w:r>
      <w:r>
        <w:rPr>
          <w:rFonts w:ascii="Calibri" w:hAnsi="Calibri" w:cs="Calibri"/>
          <w:sz w:val="22"/>
          <w:sz w:val="22"/>
          <w:rtl w:val="true"/>
        </w:rPr>
        <w:t xml:space="preserve">את </w:t>
      </w:r>
      <w:r>
        <w:rPr>
          <w:rFonts w:ascii="Calibri" w:hAnsi="Calibri" w:cs="Calibri"/>
          <w:sz w:val="22"/>
          <w:sz w:val="22"/>
          <w:rtl w:val="true"/>
        </w:rPr>
        <w:t>פרטיהם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תמסור המאשימה תוך </w:t>
      </w:r>
      <w:r>
        <w:rPr>
          <w:rFonts w:cs="Calibri" w:ascii="Calibri" w:hAnsi="Calibri"/>
          <w:sz w:val="22"/>
        </w:rPr>
        <w:t>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ימים למזכירות בית המשפט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2"/>
        </w:rPr>
      </w:pPr>
      <w:r>
        <w:rPr>
          <w:rFonts w:cs="Calibri" w:ascii="Calibri" w:hAnsi="Calibri"/>
          <w:b/>
          <w:bCs/>
          <w:sz w:val="22"/>
          <w:rtl w:val="true"/>
        </w:rPr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/>
          <w:bCs/>
          <w:sz w:val="22"/>
          <w:sz w:val="22"/>
          <w:rtl w:val="true"/>
        </w:rPr>
        <w:t>זכות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ערעור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לבית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העליון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תוך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45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יום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דינה כהן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    </w:t>
      </w:r>
    </w:p>
    <w:sectPr>
      <w:headerReference w:type="default" r:id="rId110"/>
      <w:footerReference w:type="default" r:id="rId111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34989-04-17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קורן אלקיים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899" w:hanging="360"/>
      </w:pPr>
      <w:rPr>
        <w:sz w:val="24"/>
        <w:b w:val="false"/>
        <w:szCs w:val="24"/>
        <w:bCs w:val="false"/>
        <w:rFonts w:cs="David"/>
        <w:color w:val="000000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David"/>
      <w:color w:val="000000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David"/>
      <w:b w:val="false"/>
      <w:bCs w:val="false"/>
      <w:color w:val="000000"/>
      <w:sz w:val="24"/>
      <w:szCs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5">
    <w:name w:val=" Char Char5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4">
    <w:name w:val=" Char Char4"/>
    <w:qFormat/>
    <w:rPr>
      <w:rFonts w:ascii="Times New Roman" w:hAnsi="Times New Roman" w:eastAsia="Times New Roman" w:cs="David"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1">
    <w:name w:val=" Char Char1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tyle12">
    <w:name w:val="טקסט הערה תו"/>
    <w:qFormat/>
    <w:rPr>
      <w:rFonts w:cs="David"/>
      <w:sz w:val="20"/>
      <w:szCs w:val="20"/>
      <w:lang w:bidi="he-IL"/>
    </w:rPr>
  </w:style>
  <w:style w:type="character" w:styleId="CharChar">
    <w:name w:val=" Char Char"/>
    <w:qFormat/>
    <w:rPr>
      <w:rFonts w:ascii="Times New Roman" w:hAnsi="Times New Roman" w:eastAsia="Times New Roman" w:cs="David"/>
      <w:b/>
      <w:bCs/>
      <w:sz w:val="20"/>
      <w:szCs w:val="20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פיסקת רשימה"/>
    <w:basedOn w:val="Normal"/>
    <w:qFormat/>
    <w:pPr>
      <w:spacing w:lineRule="auto" w:line="360" w:before="0" w:after="160"/>
      <w:ind w:hanging="0" w:start="720" w:end="0"/>
      <w:contextualSpacing/>
    </w:pPr>
    <w:rPr>
      <w:rFonts w:ascii="Calibri" w:hAnsi="Calibri" w:cs="Calibri"/>
      <w:sz w:val="22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4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CommentSubject">
    <w:name w:val="Comment Subject"/>
    <w:basedOn w:val="CommentText"/>
    <w:next w:val="CommentText"/>
    <w:qFormat/>
    <w:pPr>
      <w:spacing w:before="0" w:after="160"/>
    </w:pPr>
    <w:rPr>
      <w:rFonts w:ascii="Calibri" w:hAnsi="Calibri" w:cs="David"/>
      <w:b/>
      <w:bCs/>
      <w:sz w:val="20"/>
      <w:szCs w:val="20"/>
    </w:rPr>
  </w:style>
  <w:style w:type="paragraph" w:styleId="Style14">
    <w:name w:val="מהדורה"/>
    <w:qFormat/>
    <w:pPr>
      <w:widowControl/>
      <w:bidi w:val="0"/>
    </w:pPr>
    <w:rPr>
      <w:rFonts w:ascii="Calibri" w:hAnsi="Calibri" w:eastAsia="Times New Roman" w:cs="David"/>
      <w:color w:val="auto"/>
      <w:sz w:val="22"/>
      <w:szCs w:val="24"/>
      <w:lang w:val="en-US" w:bidi="he-IL" w:eastAsia="zh-CN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c.b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law/70301/40f" TargetMode="External"/><Relationship Id="rId11" Type="http://schemas.openxmlformats.org/officeDocument/2006/relationships/hyperlink" Target="http://www.nevo.co.il/law/70301/40g" TargetMode="External"/><Relationship Id="rId12" Type="http://schemas.openxmlformats.org/officeDocument/2006/relationships/hyperlink" Target="http://www.nevo.co.il/law/70301/144f.a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382.a" TargetMode="External"/><Relationship Id="rId18" Type="http://schemas.openxmlformats.org/officeDocument/2006/relationships/hyperlink" Target="http://www.nevo.co.il/law/70301/40jc.b" TargetMode="External"/><Relationship Id="rId19" Type="http://schemas.openxmlformats.org/officeDocument/2006/relationships/hyperlink" Target="http://www.nevo.co.il/law/70301/40jc.c" TargetMode="External"/><Relationship Id="rId20" Type="http://schemas.openxmlformats.org/officeDocument/2006/relationships/hyperlink" Target="http://www.nevo.co.il/law/70301/410.3" TargetMode="External"/><Relationship Id="rId21" Type="http://schemas.openxmlformats.org/officeDocument/2006/relationships/hyperlink" Target="http://www.nevo.co.il/law/70301/413e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5227/43" TargetMode="External"/><Relationship Id="rId24" Type="http://schemas.openxmlformats.org/officeDocument/2006/relationships/hyperlink" Target="http://www.nevo.co.il/law/70301/379" TargetMode="External"/><Relationship Id="rId25" Type="http://schemas.openxmlformats.org/officeDocument/2006/relationships/hyperlink" Target="http://www.nevo.co.il/law/70301/382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10.3" TargetMode="External"/><Relationship Id="rId28" Type="http://schemas.openxmlformats.org/officeDocument/2006/relationships/hyperlink" Target="http://www.nevo.co.il/law/5227/43" TargetMode="External"/><Relationship Id="rId29" Type="http://schemas.openxmlformats.org/officeDocument/2006/relationships/hyperlink" Target="http://www.nevo.co.il/law/5227" TargetMode="External"/><Relationship Id="rId30" Type="http://schemas.openxmlformats.org/officeDocument/2006/relationships/hyperlink" Target="http://www.nevo.co.il/law/70301/380" TargetMode="External"/><Relationship Id="rId31" Type="http://schemas.openxmlformats.org/officeDocument/2006/relationships/hyperlink" Target="http://www.nevo.co.il/law/70301/382.a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/144f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13e" TargetMode="External"/><Relationship Id="rId36" Type="http://schemas.openxmlformats.org/officeDocument/2006/relationships/hyperlink" Target="http://www.nevo.co.il/law/70301/31" TargetMode="External"/><Relationship Id="rId37" Type="http://schemas.openxmlformats.org/officeDocument/2006/relationships/hyperlink" Target="http://www.nevo.co.il/law/70301/144f.a" TargetMode="External"/><Relationship Id="rId38" Type="http://schemas.openxmlformats.org/officeDocument/2006/relationships/hyperlink" Target="http://www.nevo.co.il/law/70301/380" TargetMode="External"/><Relationship Id="rId39" Type="http://schemas.openxmlformats.org/officeDocument/2006/relationships/hyperlink" Target="http://www.nevo.co.il/law/70301/382.a" TargetMode="External"/><Relationship Id="rId40" Type="http://schemas.openxmlformats.org/officeDocument/2006/relationships/hyperlink" Target="http://www.nevo.co.il/law/70301/144f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13e" TargetMode="External"/><Relationship Id="rId43" Type="http://schemas.openxmlformats.org/officeDocument/2006/relationships/hyperlink" Target="http://www.nevo.co.il/law/70301/144f.a" TargetMode="External"/><Relationship Id="rId44" Type="http://schemas.openxmlformats.org/officeDocument/2006/relationships/hyperlink" Target="http://www.nevo.co.il/law/70301/380" TargetMode="External"/><Relationship Id="rId45" Type="http://schemas.openxmlformats.org/officeDocument/2006/relationships/hyperlink" Target="http://www.nevo.co.il/law/70301/382.a" TargetMode="External"/><Relationship Id="rId46" Type="http://schemas.openxmlformats.org/officeDocument/2006/relationships/hyperlink" Target="http://www.nevo.co.il/law/70301/144f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79" TargetMode="External"/><Relationship Id="rId49" Type="http://schemas.openxmlformats.org/officeDocument/2006/relationships/hyperlink" Target="http://www.nevo.co.il/law/70301/382.a" TargetMode="External"/><Relationship Id="rId50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/31" TargetMode="External"/><Relationship Id="rId52" Type="http://schemas.openxmlformats.org/officeDocument/2006/relationships/hyperlink" Target="http://www.nevo.co.il/law/70301/144f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13e" TargetMode="External"/><Relationship Id="rId55" Type="http://schemas.openxmlformats.org/officeDocument/2006/relationships/hyperlink" Target="http://www.nevo.co.il/law/70301/144f.a" TargetMode="External"/><Relationship Id="rId56" Type="http://schemas.openxmlformats.org/officeDocument/2006/relationships/hyperlink" Target="http://www.nevo.co.il/law/70301/410.3" TargetMode="External"/><Relationship Id="rId57" Type="http://schemas.openxmlformats.org/officeDocument/2006/relationships/hyperlink" Target="http://www.nevo.co.il/law/70301/144f.a" TargetMode="External"/><Relationship Id="rId58" Type="http://schemas.openxmlformats.org/officeDocument/2006/relationships/hyperlink" Target="http://www.nevo.co.il/law/5227/43" TargetMode="External"/><Relationship Id="rId59" Type="http://schemas.openxmlformats.org/officeDocument/2006/relationships/hyperlink" Target="http://www.nevo.co.il/law/5227" TargetMode="External"/><Relationship Id="rId60" Type="http://schemas.openxmlformats.org/officeDocument/2006/relationships/hyperlink" Target="http://www.nevo.co.il/law/70301/144f.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3093721" TargetMode="External"/><Relationship Id="rId63" Type="http://schemas.openxmlformats.org/officeDocument/2006/relationships/hyperlink" Target="http://www.nevo.co.il/case/22961891" TargetMode="External"/><Relationship Id="rId64" Type="http://schemas.openxmlformats.org/officeDocument/2006/relationships/hyperlink" Target="http://www.nevo.co.il/case/5719368" TargetMode="External"/><Relationship Id="rId65" Type="http://schemas.openxmlformats.org/officeDocument/2006/relationships/hyperlink" Target="http://www.nevo.co.il/case/23506543" TargetMode="External"/><Relationship Id="rId66" Type="http://schemas.openxmlformats.org/officeDocument/2006/relationships/hyperlink" Target="http://www.nevo.co.il/law/70301/40d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23553050" TargetMode="External"/><Relationship Id="rId69" Type="http://schemas.openxmlformats.org/officeDocument/2006/relationships/hyperlink" Target="http://www.nevo.co.il/case/20033641" TargetMode="External"/><Relationship Id="rId70" Type="http://schemas.openxmlformats.org/officeDocument/2006/relationships/hyperlink" Target="http://www.nevo.co.il/case/22684688" TargetMode="External"/><Relationship Id="rId71" Type="http://schemas.openxmlformats.org/officeDocument/2006/relationships/hyperlink" Target="http://www.nevo.co.il/law/70301/40d.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6248029" TargetMode="External"/><Relationship Id="rId74" Type="http://schemas.openxmlformats.org/officeDocument/2006/relationships/hyperlink" Target="http://www.nevo.co.il/law/70301/40jc.b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http://www.nevo.co.il/case/13093721" TargetMode="External"/><Relationship Id="rId77" Type="http://schemas.openxmlformats.org/officeDocument/2006/relationships/hyperlink" Target="http://www.nevo.co.il/case/6708658" TargetMode="External"/><Relationship Id="rId78" Type="http://schemas.openxmlformats.org/officeDocument/2006/relationships/hyperlink" Target="http://www.nevo.co.il/case/11303284" TargetMode="External"/><Relationship Id="rId79" Type="http://schemas.openxmlformats.org/officeDocument/2006/relationships/hyperlink" Target="http://www.nevo.co.il/case/20033641" TargetMode="External"/><Relationship Id="rId80" Type="http://schemas.openxmlformats.org/officeDocument/2006/relationships/hyperlink" Target="http://www.nevo.co.il/law/70301/40c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40b" TargetMode="External"/><Relationship Id="rId83" Type="http://schemas.openxmlformats.org/officeDocument/2006/relationships/hyperlink" Target="http://www.nevo.co.il/law/70301/40c" TargetMode="External"/><Relationship Id="rId84" Type="http://schemas.openxmlformats.org/officeDocument/2006/relationships/hyperlink" Target="http://www.nevo.co.il/case/16900220" TargetMode="External"/><Relationship Id="rId85" Type="http://schemas.openxmlformats.org/officeDocument/2006/relationships/hyperlink" Target="http://www.nevo.co.il/case/5823680" TargetMode="External"/><Relationship Id="rId86" Type="http://schemas.openxmlformats.org/officeDocument/2006/relationships/hyperlink" Target="http://www.nevo.co.il/case/21476409" TargetMode="External"/><Relationship Id="rId87" Type="http://schemas.openxmlformats.org/officeDocument/2006/relationships/hyperlink" Target="http://www.nevo.co.il/case/17016951" TargetMode="External"/><Relationship Id="rId88" Type="http://schemas.openxmlformats.org/officeDocument/2006/relationships/hyperlink" Target="http://www.nevo.co.il/law/70301/333" TargetMode="External"/><Relationship Id="rId89" Type="http://schemas.openxmlformats.org/officeDocument/2006/relationships/hyperlink" Target="http://www.nevo.co.il/law/70301/335.a.1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18107456" TargetMode="External"/><Relationship Id="rId92" Type="http://schemas.openxmlformats.org/officeDocument/2006/relationships/hyperlink" Target="http://www.nevo.co.il/case/5614080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case/6143693" TargetMode="External"/><Relationship Id="rId95" Type="http://schemas.openxmlformats.org/officeDocument/2006/relationships/hyperlink" Target="http://www.nevo.co.il/case/21477553" TargetMode="External"/><Relationship Id="rId96" Type="http://schemas.openxmlformats.org/officeDocument/2006/relationships/hyperlink" Target="http://www.nevo.co.il/case/21476409" TargetMode="External"/><Relationship Id="rId97" Type="http://schemas.openxmlformats.org/officeDocument/2006/relationships/hyperlink" Target="http://www.nevo.co.il/case/22684688" TargetMode="External"/><Relationship Id="rId98" Type="http://schemas.openxmlformats.org/officeDocument/2006/relationships/hyperlink" Target="http://www.nevo.co.il/case/21473281" TargetMode="External"/><Relationship Id="rId99" Type="http://schemas.openxmlformats.org/officeDocument/2006/relationships/hyperlink" Target="http://www.nevo.co.il/case/11238142" TargetMode="External"/><Relationship Id="rId100" Type="http://schemas.openxmlformats.org/officeDocument/2006/relationships/hyperlink" Target="http://www.nevo.co.il/case/5614080" TargetMode="External"/><Relationship Id="rId101" Type="http://schemas.openxmlformats.org/officeDocument/2006/relationships/hyperlink" Target="http://www.nevo.co.il/case/22683268" TargetMode="External"/><Relationship Id="rId102" Type="http://schemas.openxmlformats.org/officeDocument/2006/relationships/hyperlink" Target="http://www.nevo.co.il/case/22684191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70301/40c.b" TargetMode="External"/><Relationship Id="rId105" Type="http://schemas.openxmlformats.org/officeDocument/2006/relationships/hyperlink" Target="http://www.nevo.co.il/law/70301/40f" TargetMode="External"/><Relationship Id="rId106" Type="http://schemas.openxmlformats.org/officeDocument/2006/relationships/hyperlink" Target="http://www.nevo.co.il/law/70301/40g" TargetMode="External"/><Relationship Id="rId107" Type="http://schemas.openxmlformats.org/officeDocument/2006/relationships/hyperlink" Target="http://www.nevo.co.il/law/70301/40jc.c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advertisements/nevo-100.doc" TargetMode="External"/><Relationship Id="rId110" Type="http://schemas.openxmlformats.org/officeDocument/2006/relationships/header" Target="header1.xml"/><Relationship Id="rId111" Type="http://schemas.openxmlformats.org/officeDocument/2006/relationships/footer" Target="footer1.xml"/><Relationship Id="rId112" Type="http://schemas.openxmlformats.org/officeDocument/2006/relationships/numbering" Target="numbering.xml"/><Relationship Id="rId113" Type="http://schemas.openxmlformats.org/officeDocument/2006/relationships/fontTable" Target="fontTable.xml"/><Relationship Id="rId114" Type="http://schemas.openxmlformats.org/officeDocument/2006/relationships/settings" Target="settings.xml"/><Relationship Id="rId1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2020-07-20T11:51:00Z</dcterms:created>
  <dc:creator> </dc:creator>
  <dc:description/>
  <cp:keywords/>
  <dc:language>en-IL</dc:language>
  <cp:lastModifiedBy>yafit</cp:lastModifiedBy>
  <dcterms:modified xsi:type="dcterms:W3CDTF">2020-07-20T11:51:00Z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קורן אלקיים;טמיר ברטל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13093721:2;22961891;5719368;23506543;23553050;20033641:2;22684688:2;6248029;6708658;11303284;16900220;5823680;21476409:2;17016951;18107456;5614080:2;6143693;21477553;21473281;11238142;22683268;22684191</vt:lpwstr>
  </property>
  <property fmtid="{D5CDD505-2E9C-101B-9397-08002B2CF9AE}" pid="9" name="CITY">
    <vt:lpwstr>ב"ש</vt:lpwstr>
  </property>
  <property fmtid="{D5CDD505-2E9C-101B-9397-08002B2CF9AE}" pid="10" name="DATE">
    <vt:lpwstr>20190430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נתן זלוצ'ובר;שלמה פרידלנדר;דינה כהן</vt:lpwstr>
  </property>
  <property fmtid="{D5CDD505-2E9C-101B-9397-08002B2CF9AE}" pid="14" name="LAWLISTTMP1">
    <vt:lpwstr>70301/379:2;382.a:5;410.3:2;380:3;031:3;144f.a:9;413e:3;025;040d;040d.a;40jc.b;040c:2;040b;333;335.a.1;040c.b;040f;040g;40jc.c</vt:lpwstr>
  </property>
  <property fmtid="{D5CDD505-2E9C-101B-9397-08002B2CF9AE}" pid="15" name="LAWLISTTMP2">
    <vt:lpwstr>5227/043:2</vt:lpwstr>
  </property>
  <property fmtid="{D5CDD505-2E9C-101B-9397-08002B2CF9AE}" pid="16" name="LAWYER">
    <vt:lpwstr>יריב צרי;מירית נוימן ;פאולה ברוש ;סימה כוכב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34989</vt:lpwstr>
  </property>
  <property fmtid="{D5CDD505-2E9C-101B-9397-08002B2CF9AE}" pid="23" name="NEWPARTB">
    <vt:lpwstr>04</vt:lpwstr>
  </property>
  <property fmtid="{D5CDD505-2E9C-101B-9397-08002B2CF9AE}" pid="24" name="NEWPARTC">
    <vt:lpwstr>17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390020190430</vt:lpwstr>
  </property>
  <property fmtid="{D5CDD505-2E9C-101B-9397-08002B2CF9AE}" pid="35" name="TYPE_N_DATE">
    <vt:lpwstr>39020190430</vt:lpwstr>
  </property>
  <property fmtid="{D5CDD505-2E9C-101B-9397-08002B2CF9AE}" pid="36" name="VOLUME">
    <vt:lpwstr/>
  </property>
  <property fmtid="{D5CDD505-2E9C-101B-9397-08002B2CF9AE}" pid="37" name="WORDNUMPAGES">
    <vt:lpwstr>21</vt:lpwstr>
  </property>
</Properties>
</file>