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523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הנשיא השופטת ר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יפה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ץ</w:t>
            </w:r>
            <w:r>
              <w:rPr>
                <w:rFonts w:cs="Arial" w:ascii="Arial" w:hAnsi="Arial"/>
                <w:b/>
                <w:bCs/>
                <w:rtl w:val="true"/>
              </w:rPr>
              <w:t>,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 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א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ואגו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 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י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צלקובניק</w:t>
            </w:r>
          </w:p>
        </w:tc>
        <w:tc>
          <w:tcPr>
            <w:tcW w:w="367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תפ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ח </w:t>
            </w:r>
            <w:r>
              <w:rPr>
                <w:rFonts w:cs="Arial" w:ascii="Arial" w:hAnsi="Arial"/>
                <w:b/>
                <w:bCs/>
              </w:rPr>
              <w:t>35298-08-13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bookmarkStart w:id="0" w:name="LastJudge"/>
      <w:bookmarkEnd w:id="0"/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6120"/>
        <w:gridCol w:w="1777"/>
      </w:tblGrid>
      <w:tr>
        <w:trPr>
          <w:trHeight w:val="295" w:hRule="atLeast"/>
        </w:trPr>
        <w:tc>
          <w:tcPr>
            <w:tcW w:w="7043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1" w:name="_GoBack"/>
            <w:bookmarkStart w:id="2" w:name="_GoBack"/>
            <w:bookmarkEnd w:id="2"/>
          </w:p>
        </w:tc>
        <w:tc>
          <w:tcPr>
            <w:tcW w:w="177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3" w:name="FirstAppellant"/>
            <w:bookmarkEnd w:id="3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6120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י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ד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אבי ביטון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פמ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1777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612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177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tl w:val="true"/>
              </w:rPr>
              <w:t>חוסאם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זענין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4" w:name="FirstLawyer"/>
            <w:bookmarkStart w:id="5" w:name="FirstLawyer"/>
            <w:bookmarkEnd w:id="5"/>
          </w:p>
        </w:tc>
        <w:tc>
          <w:tcPr>
            <w:tcW w:w="6120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י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מ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ג</w:t>
            </w:r>
            <w:r>
              <w:rPr>
                <w:rFonts w:cs="Arial" w:ascii="Arial" w:hAnsi="Arial"/>
                <w:b/>
                <w:bCs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אברין</w:t>
            </w:r>
          </w:p>
        </w:tc>
        <w:tc>
          <w:tcPr>
            <w:tcW w:w="1777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612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177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31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114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143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305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8">
        <w:r>
          <w:rPr>
            <w:rStyle w:val="Hyperlink"/>
            <w:rFonts w:ascii="FrankRuehl" w:hAnsi="FrankRuehl" w:cs="FrankRuehl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שעת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ascii="FrankRuehl" w:hAnsi="FrankRuehl" w:cs="FrankRuehl"/>
            <w:rtl w:val="true"/>
          </w:rPr>
          <w:t>חירום</w:t>
        </w:r>
        <w:r>
          <w:rPr>
            <w:rStyle w:val="Hyperlink"/>
            <w:rFonts w:cs="FrankRuehl" w:ascii="FrankRuehl" w:hAnsi="FrankRuehl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</w:rPr>
          <w:t>1945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</w:rPr>
          <w:t>85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bookmarkStart w:id="6" w:name="PsakDin"/>
            <w:bookmarkStart w:id="7" w:name="LawTable_End"/>
            <w:bookmarkEnd w:id="7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ר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- 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ן</w:t>
            </w:r>
            <w:bookmarkEnd w:id="6"/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במסגרת הסדר טיעון שנערך בין הצדדים תוקן כתב האישום המקורי שהוגש כנגד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הודה בעובדות </w:t>
      </w:r>
      <w:r>
        <w:rPr>
          <w:rFonts w:ascii="Arial" w:hAnsi="Arial" w:cs="Arial"/>
          <w:rtl w:val="true"/>
        </w:rPr>
        <w:t>שב</w:t>
      </w:r>
      <w:r>
        <w:rPr>
          <w:rFonts w:ascii="Arial" w:hAnsi="Arial" w:cs="Arial"/>
          <w:rtl w:val="true"/>
        </w:rPr>
        <w:t>כתב האישום המתוקן והורשע בעבירות שונות כנגד ביטחון המדינה וחייליה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ההסדר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עתרו</w:t>
      </w:r>
      <w:r>
        <w:rPr>
          <w:rFonts w:ascii="Arial" w:hAnsi="Arial" w:cs="Arial"/>
          <w:rtl w:val="true"/>
        </w:rPr>
        <w:t xml:space="preserve"> הצדדים במשותף להשית על הנאשם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 ומאסר על תנאי על פי שיקול דעת בית המשפט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bookmarkStart w:id="8" w:name="ABSTRACT_START"/>
      <w:bookmarkEnd w:id="8"/>
      <w:r>
        <w:rPr>
          <w:rFonts w:ascii="Arial" w:hAnsi="Arial" w:cs="Arial"/>
          <w:rtl w:val="true"/>
        </w:rPr>
        <w:t>מעובדות כתב האישום המתוקן בהן הודה הנאשם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במסגרת </w:t>
      </w:r>
      <w:r>
        <w:rPr>
          <w:rFonts w:ascii="Arial" w:hAnsi="Arial" w:cs="Arial"/>
          <w:b/>
          <w:b/>
          <w:bCs/>
          <w:rtl w:val="true"/>
        </w:rPr>
        <w:t>האישום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במהלך חודשי האביב בשנת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גויס לארגון גדודי חללי אלאקצא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>להלן</w:t>
      </w:r>
      <w:r>
        <w:rPr>
          <w:rFonts w:cs="Arial" w:ascii="Arial" w:hAnsi="Arial"/>
          <w:sz w:val="20"/>
          <w:szCs w:val="20"/>
          <w:rtl w:val="true"/>
        </w:rPr>
        <w:t>: "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>הארגון</w:t>
      </w:r>
      <w:r>
        <w:rPr>
          <w:rFonts w:cs="Arial" w:ascii="Arial" w:hAnsi="Arial"/>
          <w:sz w:val="20"/>
          <w:szCs w:val="20"/>
          <w:rtl w:val="true"/>
        </w:rPr>
        <w:t>")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המהווה התאחדות בלתי מותרת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גיוסו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הצטרף</w:t>
      </w:r>
      <w:r>
        <w:rPr>
          <w:rFonts w:ascii="Arial" w:hAnsi="Arial" w:cs="Arial"/>
          <w:rtl w:val="true"/>
        </w:rPr>
        <w:t xml:space="preserve"> הנאשם לאימון צבאי של הארגון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בבית הספר החקלאי בבית חנון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 xml:space="preserve">נמשך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האימון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עברו הנאשם ופעילי גדודים נוספים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אימוני כושר גופני והכשרה בפירוק והרכבה של רוס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 קלאצ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בסמוך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הסכים להשתלב בפעילות שמירה חמושה כנגד כניסת כוחות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לאזור בית חנון וירי לעברם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במטרה לגרום למותם</w:t>
      </w:r>
      <w:r>
        <w:rPr>
          <w:rFonts w:cs="Arial" w:ascii="Arial" w:hAnsi="Arial"/>
          <w:rtl w:val="true"/>
        </w:rPr>
        <w:t xml:space="preserve">. </w:t>
      </w:r>
      <w:bookmarkStart w:id="9" w:name="ABSTRACT_END"/>
      <w:bookmarkEnd w:id="9"/>
      <w:r>
        <w:rPr>
          <w:rFonts w:ascii="Arial" w:hAnsi="Arial" w:cs="Arial"/>
          <w:rtl w:val="true"/>
        </w:rPr>
        <w:t>לצורך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הצטרף</w:t>
      </w:r>
      <w:r>
        <w:rPr>
          <w:rFonts w:ascii="Arial" w:hAnsi="Arial" w:cs="Arial"/>
          <w:rtl w:val="true"/>
        </w:rPr>
        <w:t xml:space="preserve"> הנאשם לחולייה בארגון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והוא </w:t>
      </w:r>
      <w:r>
        <w:rPr>
          <w:rFonts w:ascii="Arial" w:hAnsi="Arial" w:cs="Arial"/>
          <w:rtl w:val="true"/>
        </w:rPr>
        <w:t>וחבריו לחוליה יצאו לביצוע פעילות השמירה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כשהם נושאים עמם מטען חבלה במשקל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מטול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פצצות </w:t>
      </w:r>
      <w:r>
        <w:rPr>
          <w:rFonts w:cs="Arial" w:ascii="Arial" w:hAnsi="Arial"/>
        </w:rPr>
        <w:t>R.P.G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כל אחד מחברי החוליה </w:t>
      </w:r>
      <w:r>
        <w:rPr>
          <w:rFonts w:ascii="Arial" w:hAnsi="Arial" w:cs="Arial"/>
          <w:rtl w:val="true"/>
        </w:rPr>
        <w:t xml:space="preserve">היה גם </w:t>
      </w:r>
      <w:r>
        <w:rPr>
          <w:rFonts w:ascii="Arial" w:hAnsi="Arial" w:cs="Arial"/>
          <w:rtl w:val="true"/>
        </w:rPr>
        <w:t>חמוש ברוס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 קלאצ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ומחסנית שבתוכה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וחבריו הונחו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במידה ויתקלו בכוחות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עליהם לפתוח באש לעברם ולהפעיל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 זמנית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מטען החבלה על החיילים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בכדי לגרום למותם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מעובדות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האישום השני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שבכתב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עולה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כי במהלך שנת </w:t>
      </w:r>
      <w:r>
        <w:rPr>
          <w:rFonts w:cs="Arial" w:ascii="Arial" w:hAnsi="Arial"/>
        </w:rPr>
        <w:t>2005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תכננו </w:t>
      </w:r>
      <w:r>
        <w:rPr>
          <w:rFonts w:ascii="Arial" w:hAnsi="Arial" w:cs="Arial"/>
          <w:rtl w:val="true"/>
        </w:rPr>
        <w:t xml:space="preserve">הנאשם וחבריו להניח מטען חבלה במשקל של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בבית חנון שברצועת 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במטרה לגרום למותם של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שנאמר להם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כוח ישראלי נמצא בבית חנון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לשם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הניחו </w:t>
      </w:r>
      <w:r>
        <w:rPr>
          <w:rFonts w:ascii="Arial" w:hAnsi="Arial" w:cs="Arial"/>
          <w:rtl w:val="true"/>
        </w:rPr>
        <w:t>חבריו של הנאשם את המטען בצד הכביש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ברחוב אלואד שבבית חנון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ומתחו חוטים מהמטען לכיוון הפרדס הסמוך לכביש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שיוכלו להפעילו כשחיילי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יגיעו לאזור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במטרה לגרום למותם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בעת הנחת המטען וכשעתיים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סיירו </w:t>
      </w:r>
      <w:r>
        <w:rPr>
          <w:rFonts w:ascii="Arial" w:hAnsi="Arial" w:cs="Arial"/>
          <w:rtl w:val="true"/>
        </w:rPr>
        <w:t>הנאשם וחבריו באיזור כשהם חמושים בנשק ואחד מחברי החולייה חמוש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R.P.G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>והמתינו לחיילי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במטרה לגרום למותם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בהיותם ישראלים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במסגרת </w:t>
      </w:r>
      <w:r>
        <w:rPr>
          <w:rFonts w:ascii="Arial" w:hAnsi="Arial" w:cs="Arial"/>
          <w:b/>
          <w:b/>
          <w:bCs/>
          <w:rtl w:val="true"/>
        </w:rPr>
        <w:t>האישום השלישי</w:t>
      </w:r>
      <w:r>
        <w:rPr>
          <w:rFonts w:ascii="Arial" w:hAnsi="Arial" w:cs="Arial"/>
          <w:rtl w:val="true"/>
        </w:rPr>
        <w:t xml:space="preserve"> של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 הנאשם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כי במהלך חודש יוני </w:t>
      </w:r>
      <w:r>
        <w:rPr>
          <w:rFonts w:cs="Arial" w:ascii="Arial" w:hAnsi="Arial"/>
        </w:rPr>
        <w:t>2005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</w:t>
      </w:r>
      <w:r>
        <w:rPr>
          <w:rFonts w:ascii="Arial" w:hAnsi="Arial" w:cs="Arial"/>
          <w:rtl w:val="true"/>
        </w:rPr>
        <w:t xml:space="preserve"> וחבריו לחוליה תכננו לגרום למותם של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באשר הם ישראלים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בכוונה לפגוע בביטחון המדינה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לשם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אחד מחברי החוליה הביא שני מטעני חבלה המכילים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חומר נפץ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אחד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הנאשם וחברי החוליה הניחו את המטענים על אדמת הפרדס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ברחוב אלואד 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>בבית חנון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וחבריו ערכו מארב במרחק של </w:t>
      </w:r>
      <w:r>
        <w:rPr>
          <w:rFonts w:ascii="Arial" w:hAnsi="Arial" w:cs="Arial"/>
          <w:rtl w:val="true"/>
        </w:rPr>
        <w:t xml:space="preserve"> 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מטר ממקום הנחת המטענים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והמתינו לחיילי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ע</w:t>
      </w:r>
      <w:r>
        <w:rPr>
          <w:rFonts w:ascii="Arial" w:hAnsi="Arial" w:cs="Arial"/>
          <w:rtl w:val="true"/>
        </w:rPr>
        <w:t>ל מנת</w:t>
      </w:r>
      <w:r>
        <w:rPr>
          <w:rFonts w:ascii="Arial" w:hAnsi="Arial" w:cs="Arial"/>
          <w:rtl w:val="true"/>
        </w:rPr>
        <w:t xml:space="preserve"> לפוצץ את המטענים ולגרום למותם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כשעתיים בהם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לא הגיעו לאיזור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עזבו </w:t>
      </w:r>
      <w:r>
        <w:rPr>
          <w:rFonts w:ascii="Arial" w:hAnsi="Arial" w:cs="Arial"/>
          <w:rtl w:val="true"/>
        </w:rPr>
        <w:t>הנאשם וחבריו את המקום אך השאירו את מטעני החבלה במקום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לכן הנאשם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במסגרת </w:t>
      </w:r>
      <w:r>
        <w:rPr>
          <w:rFonts w:ascii="Arial" w:hAnsi="Arial" w:cs="Arial"/>
          <w:b/>
          <w:b/>
          <w:bCs/>
          <w:rtl w:val="true"/>
        </w:rPr>
        <w:t>האישום הראשון</w:t>
      </w:r>
      <w:r>
        <w:rPr>
          <w:rFonts w:ascii="Arial" w:hAnsi="Arial" w:cs="Arial"/>
          <w:rtl w:val="true"/>
        </w:rPr>
        <w:t xml:space="preserve"> בעבירה של מגע עם סוכן חוץ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0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114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עבירה של חברות בהתאחדות בלתי מותרת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2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85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תקנות ההגנה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שעת חירום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אימונים צבאיים אסורים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4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143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ascii="Arial" w:hAnsi="Arial" w:cs="Arial"/>
          <w:rtl w:val="true"/>
        </w:rPr>
        <w:t xml:space="preserve">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ועבירות נשק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נשיאת נשק ותחמושת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לפי </w:t>
      </w:r>
      <w:hyperlink r:id="rId15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ascii="Arial" w:hAnsi="Arial" w:cs="Arial"/>
          <w:rtl w:val="true"/>
        </w:rPr>
        <w:t>לחוק</w:t>
      </w:r>
      <w:r>
        <w:rPr>
          <w:rFonts w:ascii="Arial" w:hAnsi="Arial" w:cs="Arial"/>
          <w:rtl w:val="true"/>
        </w:rPr>
        <w:t xml:space="preserve"> העונשין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במסגרת </w:t>
      </w:r>
      <w:r>
        <w:rPr>
          <w:rFonts w:ascii="Arial" w:hAnsi="Arial" w:cs="Arial"/>
          <w:b/>
          <w:b/>
          <w:bCs/>
          <w:rtl w:val="true"/>
        </w:rPr>
        <w:t>האישום השני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הורשע הנאשם </w:t>
      </w:r>
      <w:r>
        <w:rPr>
          <w:rFonts w:ascii="Arial" w:hAnsi="Arial" w:cs="Arial"/>
          <w:rtl w:val="true"/>
        </w:rPr>
        <w:t>בעבירות של חברות בהתאחדות בלתי מותרת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6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85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לתקנות</w:t>
      </w:r>
      <w:r>
        <w:rPr>
          <w:rFonts w:ascii="Arial" w:hAnsi="Arial" w:cs="Arial"/>
          <w:rtl w:val="true"/>
        </w:rPr>
        <w:t xml:space="preserve"> ההגנה</w:t>
      </w:r>
      <w:r>
        <w:rPr>
          <w:rFonts w:ascii="Arial" w:hAnsi="Arial" w:cs="Arial"/>
          <w:rtl w:val="true"/>
        </w:rPr>
        <w:t xml:space="preserve"> ו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עבירה של סיוע לניסיון לרצח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7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305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בצירוף </w:t>
      </w:r>
      <w:hyperlink r:id="rId19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במסגרת </w:t>
      </w:r>
      <w:r>
        <w:rPr>
          <w:rFonts w:ascii="Arial" w:hAnsi="Arial" w:cs="Arial"/>
          <w:b/>
          <w:b/>
          <w:bCs/>
          <w:rtl w:val="true"/>
        </w:rPr>
        <w:t>האישום השלישי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הנאשם </w:t>
      </w:r>
      <w:r>
        <w:rPr>
          <w:rFonts w:ascii="Arial" w:hAnsi="Arial" w:cs="Arial"/>
          <w:rtl w:val="true"/>
        </w:rPr>
        <w:t>בעבירות של חברות בהתאחדות בלתי מותרת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20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85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לתקנות</w:t>
      </w:r>
      <w:r>
        <w:rPr>
          <w:rFonts w:ascii="Arial" w:hAnsi="Arial" w:cs="Arial"/>
          <w:rtl w:val="true"/>
        </w:rPr>
        <w:t xml:space="preserve"> ההגנה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עבירה של ניסיון לרצח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21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305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הוסכם בין הצדדים במסגרת הסדר הטיעון להטיל 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בגין מעשיו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עונש מאסר בפועל של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הצדדים ביקשו לכבד את ההסדר לאור קשיים ראייתיים בגינם תוקן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הודאת הנאשם והחיסכון בזמן שיפוטי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הסנגור ביקש להוסיף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כי מדובר בעבירות משנת </w:t>
      </w:r>
      <w:r>
        <w:rPr>
          <w:rFonts w:cs="Arial" w:ascii="Arial" w:hAnsi="Arial"/>
        </w:rPr>
        <w:t>2005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נאשם נעדר עבר פלילי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נשוי ואב לשתי בנות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אחת מהן חולת סרטן ומטופלת בישראל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נעצר עת נכנס לישראל על מנת לסעוד אותה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כן ציין </w:t>
      </w:r>
      <w:r>
        <w:rPr>
          <w:rFonts w:ascii="Arial" w:hAnsi="Arial" w:cs="Arial"/>
          <w:rtl w:val="true"/>
        </w:rPr>
        <w:t>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החמאס צלפו בו בעת עלייתם לשלטון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הנאשם הביע חרטה וביקש להקל בדינו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ציין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ראה את בתו החולה בפעם האחרונה כאשר באה לבקרו בכלא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הוא עצמו חולה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וכי הבין את תוצאות מעשיו והשלכותיו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המעשים המיוחסים לנאשם הם חמורים ומהווים חלק משרשרת הטרור המעמידה את מדינת ישראל וחייליה בפני סיכונים של ממש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ולכן מחייבים ענישה מרתיעה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קבע לא אחת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כי בעבירות נגד ביטחון המדינה השיקול המרכזי הוא הרתעה וכי יתר השיקולים נסוגים מפניו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>ר</w:t>
      </w:r>
      <w:r>
        <w:rPr>
          <w:rFonts w:cs="Arial" w:ascii="Arial" w:hAnsi="Arial"/>
          <w:sz w:val="20"/>
          <w:szCs w:val="20"/>
          <w:rtl w:val="true"/>
        </w:rPr>
        <w:t xml:space="preserve">', </w:t>
      </w:r>
      <w:r>
        <w:rPr>
          <w:rFonts w:ascii="Arial" w:hAnsi="Arial" w:cs="Arial"/>
          <w:sz w:val="20"/>
          <w:sz w:val="20"/>
          <w:szCs w:val="20"/>
          <w:rtl w:val="true"/>
        </w:rPr>
        <w:t>למשל</w:t>
      </w:r>
      <w:r>
        <w:rPr>
          <w:rFonts w:cs="Arial" w:ascii="Arial" w:hAnsi="Arial"/>
          <w:sz w:val="20"/>
          <w:szCs w:val="20"/>
          <w:rtl w:val="true"/>
        </w:rPr>
        <w:t>,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hyperlink r:id="rId23">
        <w:r>
          <w:rPr>
            <w:rStyle w:val="Hyperlink"/>
            <w:rFonts w:ascii="Arial" w:hAnsi="Arial" w:cs="Arial"/>
            <w:color w:val="0000FF"/>
            <w:sz w:val="20"/>
            <w:sz w:val="20"/>
            <w:szCs w:val="20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0"/>
            <w:szCs w:val="20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0"/>
            <w:sz w:val="20"/>
            <w:szCs w:val="20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0"/>
            <w:szCs w:val="20"/>
            <w:u w:val="single"/>
          </w:rPr>
          <w:t>6306/12</w:t>
        </w:r>
      </w:hyperlink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>מהרה נ</w:t>
      </w:r>
      <w:r>
        <w:rPr>
          <w:rFonts w:cs="Arial" w:ascii="Arial" w:hAnsi="Arial"/>
          <w:b/>
          <w:bCs/>
          <w:sz w:val="20"/>
          <w:szCs w:val="20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>מדינת ישראל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מיום </w:t>
      </w:r>
      <w:r>
        <w:rPr>
          <w:rFonts w:cs="Arial" w:ascii="Arial" w:hAnsi="Arial"/>
          <w:sz w:val="20"/>
          <w:szCs w:val="20"/>
        </w:rPr>
        <w:t>23.2.2014</w:t>
      </w:r>
      <w:r>
        <w:rPr>
          <w:rFonts w:cs="Arial" w:ascii="Arial" w:hAnsi="Arial"/>
          <w:sz w:val="20"/>
          <w:szCs w:val="20"/>
          <w:rtl w:val="true"/>
        </w:rPr>
        <w:t>)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העליון גם קבע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בעבירות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המכוונות נגד ביטחון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לתת ביטוי ל</w:t>
      </w:r>
      <w:r>
        <w:rPr>
          <w:rFonts w:ascii="Arial" w:hAnsi="Arial" w:cs="Arial"/>
          <w:rtl w:val="true"/>
        </w:rPr>
        <w:t>מגמת ההחמרה בענישה ו</w:t>
      </w:r>
      <w:r>
        <w:rPr>
          <w:rFonts w:ascii="Arial" w:hAnsi="Arial" w:cs="Arial"/>
          <w:rtl w:val="true"/>
        </w:rPr>
        <w:t>פסק</w:t>
      </w:r>
      <w:r>
        <w:rPr>
          <w:rFonts w:ascii="Arial" w:hAnsi="Arial" w:cs="Arial"/>
          <w:rtl w:val="true"/>
        </w:rPr>
        <w:t xml:space="preserve"> ב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6414/11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נאהד חמיד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מיום </w:t>
      </w:r>
      <w:r>
        <w:rPr>
          <w:rFonts w:cs="Arial" w:ascii="Arial" w:hAnsi="Arial"/>
          <w:sz w:val="20"/>
          <w:szCs w:val="20"/>
        </w:rPr>
        <w:t>23.12.13</w:t>
      </w:r>
      <w:r>
        <w:rPr>
          <w:rFonts w:cs="Arial" w:ascii="Arial" w:hAnsi="Arial"/>
          <w:sz w:val="20"/>
          <w:szCs w:val="20"/>
          <w:rtl w:val="true"/>
        </w:rPr>
        <w:t>)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start="1440" w:end="709"/>
        <w:jc w:val="both"/>
        <w:rPr>
          <w:rFonts w:ascii="Arial" w:hAnsi="Arial" w:cs="Miriam"/>
          <w:b/>
          <w:bCs/>
        </w:rPr>
      </w:pPr>
      <w:r>
        <w:rPr>
          <w:rFonts w:cs="Miriam" w:ascii="Arial" w:hAnsi="Arial"/>
          <w:b/>
          <w:bCs/>
          <w:rtl w:val="true"/>
        </w:rPr>
        <w:t>"</w:t>
      </w:r>
      <w:r>
        <w:rPr>
          <w:rFonts w:ascii="Arial" w:hAnsi="Arial" w:cs="Miriam"/>
          <w:b/>
          <w:b/>
          <w:bCs/>
          <w:rtl w:val="true"/>
        </w:rPr>
        <w:t>אין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צורך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להכביר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מילים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באשר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לחומרתן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הרבה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ביותר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של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עבירות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נגד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ביטחון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המדינה</w:t>
      </w:r>
      <w:r>
        <w:rPr>
          <w:rFonts w:cs="Miriam" w:ascii="Arial" w:hAnsi="Arial"/>
          <w:b/>
          <w:bCs/>
          <w:rtl w:val="true"/>
        </w:rPr>
        <w:t xml:space="preserve">, </w:t>
      </w:r>
      <w:r>
        <w:rPr>
          <w:rFonts w:ascii="Arial" w:hAnsi="Arial" w:cs="Miriam"/>
          <w:b/>
          <w:b/>
          <w:bCs/>
          <w:rtl w:val="true"/>
        </w:rPr>
        <w:t>ובייחוד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כאלה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שטומנות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בחובן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סיכון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ממשי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לחיי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אדם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בהיקף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נרחב</w:t>
      </w:r>
      <w:r>
        <w:rPr>
          <w:rFonts w:cs="Miriam" w:ascii="Arial" w:hAnsi="Arial"/>
          <w:b/>
          <w:bCs/>
          <w:rtl w:val="true"/>
        </w:rPr>
        <w:t xml:space="preserve">. </w:t>
      </w:r>
      <w:r>
        <w:rPr>
          <w:rFonts w:ascii="Arial" w:hAnsi="Arial" w:cs="Miriam"/>
          <w:b/>
          <w:b/>
          <w:bCs/>
          <w:rtl w:val="true"/>
        </w:rPr>
        <w:t>אין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ספק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שהענישה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המושתת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על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מי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שהורשע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בעבירות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כאמור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צריכה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להיות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מרתיעה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ביותר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והרתעה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זו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תושג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באמצעות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גזירת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עונשי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מאסר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ממושכים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לריצוי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בפועל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על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העבריינים</w:t>
      </w:r>
      <w:r>
        <w:rPr>
          <w:rFonts w:cs="Miriam" w:ascii="Arial" w:hAnsi="Arial"/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יתרה מכך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עיון בפסיקת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העליון מלמד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העונש המוצע </w:t>
      </w:r>
      <w:r>
        <w:rPr>
          <w:rFonts w:ascii="Arial" w:hAnsi="Arial" w:cs="Arial"/>
          <w:rtl w:val="true"/>
        </w:rPr>
        <w:t xml:space="preserve">על ידי הצדדים </w:t>
      </w:r>
      <w:r>
        <w:rPr>
          <w:rFonts w:ascii="Arial" w:hAnsi="Arial" w:cs="Arial"/>
          <w:rtl w:val="true"/>
        </w:rPr>
        <w:t>מצוי במתחם הענישה ההולם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מבטא </w:t>
      </w:r>
      <w:r>
        <w:rPr>
          <w:rFonts w:ascii="Arial" w:hAnsi="Arial" w:cs="Arial"/>
          <w:rtl w:val="true"/>
        </w:rPr>
        <w:t>את רף ענישה שנקבע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ואף לוקח בחשבון את </w:t>
      </w:r>
      <w:r>
        <w:rPr>
          <w:rFonts w:ascii="Arial" w:hAnsi="Arial" w:cs="Arial"/>
          <w:rtl w:val="true"/>
        </w:rPr>
        <w:t>נסיבותיו האישיות של הנאשם ואת העובדה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מעשיו לא גרמו לפגיעה בנפש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מצאנו כי יש לאמץ את הסדר הטיעון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אשר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אנו דנים את הנאשם לעונשים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מאסר בפועל למשך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החל מיום המעצר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23/07/13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מאסר על תנאי למשך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והתנאי שהנאשם לא יעבור על כל עבירה מסוג פשע או את העבירות בהן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לבית המשפט העליון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b/>
          <w:bCs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 סיוון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יוני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</w:rPr>
        <w:t>2014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tbl>
      <w:tblPr>
        <w:bidiVisual w:val="true"/>
        <w:tblW w:w="823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4"/>
        <w:gridCol w:w="239"/>
        <w:gridCol w:w="2101"/>
        <w:gridCol w:w="239"/>
        <w:gridCol w:w="3005"/>
      </w:tblGrid>
      <w:tr>
        <w:trPr/>
        <w:tc>
          <w:tcPr>
            <w:tcW w:w="265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10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300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65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הנשיא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ויטל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יפה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ץ</w:t>
            </w:r>
          </w:p>
          <w:p>
            <w:pPr>
              <w:pStyle w:val="Normal"/>
              <w:ind w:end="0"/>
              <w:jc w:val="center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10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אריאל ואגו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00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יורם צלקובניק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/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ר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יפה כ</w:t>
      </w:r>
      <w:r>
        <w:rPr>
          <w:rFonts w:cs="David" w:ascii="David" w:hAnsi="David"/>
          <w:color w:val="000000"/>
          <w:sz w:val="22"/>
          <w:szCs w:val="22"/>
          <w:rtl w:val="true"/>
        </w:rPr>
        <w:t>"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ץ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87" w:top="1701" w:footer="284" w:bottom="567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35298-08-13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חוסאם זענין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14.a" TargetMode="External"/><Relationship Id="rId5" Type="http://schemas.openxmlformats.org/officeDocument/2006/relationships/hyperlink" Target="http://www.nevo.co.il/law/70301/143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305.1" TargetMode="External"/><Relationship Id="rId8" Type="http://schemas.openxmlformats.org/officeDocument/2006/relationships/hyperlink" Target="http://www.nevo.co.il/law/73729" TargetMode="External"/><Relationship Id="rId9" Type="http://schemas.openxmlformats.org/officeDocument/2006/relationships/hyperlink" Target="http://www.nevo.co.il/law/73729/85.a" TargetMode="External"/><Relationship Id="rId10" Type="http://schemas.openxmlformats.org/officeDocument/2006/relationships/hyperlink" Target="http://www.nevo.co.il/law/70301/114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3729/85.a" TargetMode="External"/><Relationship Id="rId13" Type="http://schemas.openxmlformats.org/officeDocument/2006/relationships/hyperlink" Target="http://www.nevo.co.il/law/73729" TargetMode="External"/><Relationship Id="rId14" Type="http://schemas.openxmlformats.org/officeDocument/2006/relationships/hyperlink" Target="http://www.nevo.co.il/law/70301/143.a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3729/85.a" TargetMode="External"/><Relationship Id="rId17" Type="http://schemas.openxmlformats.org/officeDocument/2006/relationships/hyperlink" Target="http://www.nevo.co.il/law/70301/305.1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31" TargetMode="External"/><Relationship Id="rId20" Type="http://schemas.openxmlformats.org/officeDocument/2006/relationships/hyperlink" Target="http://www.nevo.co.il/law/73729/85.a" TargetMode="External"/><Relationship Id="rId21" Type="http://schemas.openxmlformats.org/officeDocument/2006/relationships/hyperlink" Target="http://www.nevo.co.il/law/70301/305.1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5586131" TargetMode="External"/><Relationship Id="rId24" Type="http://schemas.openxmlformats.org/officeDocument/2006/relationships/hyperlink" Target="http://www.nevo.co.il/case/5594497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2014-06-18T07:39:00Z</dcterms:created>
  <dc:creator> </dc:creator>
  <dc:description/>
  <cp:keywords/>
  <dc:language>en-IL</dc:language>
  <cp:lastModifiedBy>hofit</cp:lastModifiedBy>
  <dcterms:modified xsi:type="dcterms:W3CDTF">2014-06-18T07:39:00Z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חוסאם זענין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5586131;5594497</vt:lpwstr>
  </property>
  <property fmtid="{D5CDD505-2E9C-101B-9397-08002B2CF9AE}" pid="9" name="CITY">
    <vt:lpwstr>ב"ש</vt:lpwstr>
  </property>
  <property fmtid="{D5CDD505-2E9C-101B-9397-08002B2CF9AE}" pid="10" name="DATE">
    <vt:lpwstr>20140610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ר. יפה כ#ץ;א. ואגו;י. צלקובניק</vt:lpwstr>
  </property>
  <property fmtid="{D5CDD505-2E9C-101B-9397-08002B2CF9AE}" pid="14" name="LAWLISTTMP1">
    <vt:lpwstr>70301/114.a;143.a;144.b;305.1:2;031</vt:lpwstr>
  </property>
  <property fmtid="{D5CDD505-2E9C-101B-9397-08002B2CF9AE}" pid="15" name="LAWLISTTMP2">
    <vt:lpwstr>73729/085.a:3</vt:lpwstr>
  </property>
  <property fmtid="{D5CDD505-2E9C-101B-9397-08002B2CF9AE}" pid="16" name="LAWYER">
    <vt:lpwstr>מ.ג'אברין;אבי ביטון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35298</vt:lpwstr>
  </property>
  <property fmtid="{D5CDD505-2E9C-101B-9397-08002B2CF9AE}" pid="23" name="NEWPARTB">
    <vt:lpwstr>08</vt:lpwstr>
  </property>
  <property fmtid="{D5CDD505-2E9C-101B-9397-08002B2CF9AE}" pid="24" name="NEWPARTC">
    <vt:lpwstr>13</vt:lpwstr>
  </property>
  <property fmtid="{D5CDD505-2E9C-101B-9397-08002B2CF9AE}" pid="25" name="NEWPROC">
    <vt:lpwstr>תפח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390020140610</vt:lpwstr>
  </property>
  <property fmtid="{D5CDD505-2E9C-101B-9397-08002B2CF9AE}" pid="35" name="TYPE_N_DATE">
    <vt:lpwstr>39020140610</vt:lpwstr>
  </property>
  <property fmtid="{D5CDD505-2E9C-101B-9397-08002B2CF9AE}" pid="36" name="VOLUME">
    <vt:lpwstr/>
  </property>
  <property fmtid="{D5CDD505-2E9C-101B-9397-08002B2CF9AE}" pid="37" name="WORDNUMPAGES">
    <vt:lpwstr>4</vt:lpwstr>
  </property>
</Properties>
</file>