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37367-09-16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עבדאללה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4"/>
                <w:szCs w:val="14"/>
              </w:rPr>
            </w:pPr>
            <w:r>
              <w:rPr>
                <w:rFonts w:cs="FrankRuehl"/>
                <w:sz w:val="14"/>
                <w:szCs w:val="14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קוטון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 w:val="true"/>
              </w:rPr>
            </w:r>
          </w:p>
        </w:tc>
      </w:tr>
      <w:tr>
        <w:trPr>
          <w:trHeight w:val="105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3" w:name="LawTable_End"/>
      <w:bookmarkEnd w:id="3"/>
      <w:r>
        <w:rPr>
          <w:rFonts w:ascii="FrankRuehl" w:hAnsi="FrankRuehl" w:cs="FrankRuehl"/>
          <w:rtl w:val="true"/>
        </w:rPr>
        <w:t>כתבי עת</w:t>
      </w:r>
      <w:hyperlink r:id="rId10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ind w:end="0"/>
        <w:jc w:val="start"/>
        <w:rPr/>
      </w:pPr>
      <w:hyperlink r:id="rId11">
        <w:r>
          <w:rPr>
            <w:rStyle w:val="Hyperlink"/>
            <w:rFonts w:ascii="FrankRuehl" w:hAnsi="FrankRuehl" w:cs="FrankRuehl"/>
            <w:rtl w:val="true"/>
          </w:rPr>
          <w:t>גרשון גונטובניק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הזכות לתרבות בחברה ליברלית ובמדינת־ישראל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כז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23</w:t>
        </w:r>
      </w:hyperlink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firstLine="720"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4" w:name="Links_Kitvei_End"/>
            <w:bookmarkStart w:id="5" w:name="PsakDin"/>
            <w:bookmarkEnd w:id="4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firstLine="720" w:end="0"/>
              <w:jc w:val="both"/>
              <w:rPr>
                <w:rFonts w:ascii="David" w:hAnsi="David" w:cs="David"/>
                <w:b/>
                <w:bCs/>
                <w:sz w:val="2"/>
                <w:szCs w:val="2"/>
                <w:u w:val="single"/>
              </w:rPr>
            </w:pPr>
            <w:r>
              <w:rPr>
                <w:rFonts w:cs="David" w:ascii="David" w:hAnsi="David"/>
                <w:b/>
                <w:bCs/>
                <w:sz w:val="2"/>
                <w:szCs w:val="2"/>
                <w:u w:val="single"/>
                <w:rtl w:val="true"/>
              </w:rPr>
            </w:r>
            <w:bookmarkStart w:id="6" w:name="PsakDin"/>
            <w:bookmarkStart w:id="7" w:name="PsakDin"/>
            <w:bookmarkEnd w:id="7"/>
          </w:p>
        </w:tc>
      </w:tr>
    </w:tbl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חייה של המנוחה – אישה ואם אשר גידלה במסירות חמישה ילדים – נגדעו ביום </w:t>
      </w:r>
      <w:r>
        <w:rPr>
          <w:rFonts w:cs="David" w:ascii="David" w:hAnsi="David"/>
        </w:rPr>
        <w:t>28/7/16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ידי בנה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לאחר שמיעת ראיות בעבירת 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300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300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וכן בעבירה של החזקת נשק שלא כדין לפי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ירה באמו לא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מטווח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למותה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בהיותה כבת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רקע מניע הקרוי חילול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כבוד המשפחה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כשצעיר בניה המכונה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בייבי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היה רק בן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מניע זה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 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3768/08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אנואר סלאמה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7/11/10</w:t>
      </w:r>
      <w:r>
        <w:rPr>
          <w:rFonts w:cs="David" w:ascii="David" w:hAnsi="David"/>
          <w:rtl w:val="true"/>
        </w:rPr>
        <w:t xml:space="preserve">);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Ruller41"/>
        <w:ind w:start="1440" w:end="0"/>
        <w:jc w:val="both"/>
        <w:rPr/>
      </w:pP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Miriam" w:ascii="Miriam" w:hAnsi="Miriam"/>
          <w:sz w:val="24"/>
          <w:szCs w:val="24"/>
        </w:rPr>
        <w:t>2</w:t>
      </w:r>
      <w:r>
        <w:rPr>
          <w:rFonts w:cs="Miriam" w:ascii="Miriam" w:hAnsi="Miriam"/>
          <w:sz w:val="24"/>
          <w:szCs w:val="24"/>
          <w:rtl w:val="true"/>
        </w:rPr>
        <w:t xml:space="preserve">.   </w:t>
      </w:r>
      <w:r>
        <w:rPr>
          <w:rFonts w:ascii="Miriam" w:hAnsi="Miriam" w:cs="Miriam"/>
          <w:sz w:val="24"/>
          <w:sz w:val="24"/>
          <w:szCs w:val="24"/>
          <w:rtl w:val="true"/>
        </w:rPr>
        <w:t>מה לא נכתב ומה לא נאמר על ביטוי אומלל זה</w:t>
      </w:r>
      <w:r>
        <w:rPr>
          <w:rFonts w:cs="Miriam" w:ascii="Miriam" w:hAnsi="Miriam"/>
          <w:sz w:val="24"/>
          <w:szCs w:val="24"/>
          <w:rtl w:val="true"/>
        </w:rPr>
        <w:t xml:space="preserve">?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לא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כבוד המשפחה</w:t>
      </w:r>
      <w:r>
        <w:rPr>
          <w:rFonts w:cs="Miriam" w:ascii="Miriam" w:hAnsi="Miriam"/>
          <w:sz w:val="24"/>
          <w:szCs w:val="24"/>
          <w:rtl w:val="true"/>
        </w:rPr>
        <w:t xml:space="preserve">" </w:t>
      </w:r>
      <w:r>
        <w:rPr>
          <w:rFonts w:ascii="Miriam" w:hAnsi="Miriam" w:cs="Miriam"/>
          <w:sz w:val="24"/>
          <w:sz w:val="24"/>
          <w:szCs w:val="24"/>
          <w:rtl w:val="true"/>
        </w:rPr>
        <w:t>לפנינו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אלא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חוסר כבוד במשפחה</w:t>
      </w:r>
      <w:r>
        <w:rPr>
          <w:rFonts w:cs="Miriam" w:ascii="Miriam" w:hAnsi="Miriam"/>
          <w:sz w:val="24"/>
          <w:szCs w:val="24"/>
          <w:rtl w:val="true"/>
        </w:rPr>
        <w:t xml:space="preserve">". </w:t>
      </w:r>
      <w:r>
        <w:rPr>
          <w:rFonts w:ascii="Miriam" w:hAnsi="Miriam" w:cs="Miriam"/>
          <w:sz w:val="24"/>
          <w:sz w:val="24"/>
          <w:szCs w:val="24"/>
          <w:rtl w:val="true"/>
        </w:rPr>
        <w:t>חוסר כבוד לאישה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חוסר כבוד לאוטונומיה של האדם וחוסר כבוד לערך החיים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להוותנו</w:t>
      </w:r>
      <w:r>
        <w:rPr>
          <w:rFonts w:cs="Miriam" w:ascii="Miriam" w:hAnsi="Miriam"/>
          <w:b/>
          <w:bCs/>
          <w:sz w:val="24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 xml:space="preserve">הביטוי </w:t>
      </w:r>
      <w:r>
        <w:rPr>
          <w:rFonts w:cs="Miriam" w:ascii="Miriam" w:hAnsi="Miriam"/>
          <w:b/>
          <w:bCs/>
          <w:sz w:val="24"/>
          <w:szCs w:val="24"/>
          <w:rtl w:val="true"/>
        </w:rPr>
        <w:t>"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כבוד המשפחה</w:t>
      </w:r>
      <w:r>
        <w:rPr>
          <w:rFonts w:cs="Miriam" w:ascii="Miriam" w:hAnsi="Miriam"/>
          <w:b/>
          <w:bCs/>
          <w:sz w:val="24"/>
          <w:szCs w:val="24"/>
          <w:rtl w:val="true"/>
        </w:rPr>
        <w:t xml:space="preserve">"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הפך למילת קוד שמאחוריה מסתתרים דפוסי השפלה ודיכוי של האישה וקודים של התנהגות כלפי אישה שאין חלקנו עמם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הסניגור המלומד הדגיש בדיון בפנינו כי המדובר בתופעה החוצה גבולות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דת במגזר הערבי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אך בית משפט בישראל לא יאפשר לשאת את שם הרב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תרבותיות לשווא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הרב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תרבותיות נעצרת במקום של אלימות ופגיעה פיסית בכלל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ואלימות על רקע מגדרי בפרט </w:t>
      </w:r>
      <w:r>
        <w:rPr>
          <w:rFonts w:cs="Miriam" w:ascii="Miriam" w:hAnsi="Miriam"/>
          <w:sz w:val="24"/>
          <w:szCs w:val="24"/>
          <w:rtl w:val="true"/>
        </w:rPr>
        <w:t>(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גרשון </w:t>
      </w:r>
      <w:hyperlink r:id="rId17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 xml:space="preserve">גונטובניק </w:t>
        </w:r>
        <w:r>
          <w:rPr>
            <w:rStyle w:val="Hyperlink"/>
            <w:rFonts w:cs="Miriam" w:ascii="Miriam" w:hAnsi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הזכות לתרבות בחברה ליברלית ובמדינת ישראל</w:t>
        </w:r>
        <w:r>
          <w:rPr>
            <w:rStyle w:val="Hyperlink"/>
            <w:rFonts w:cs="Miriam" w:ascii="Miriam" w:hAnsi="Miriam"/>
            <w:color w:val="0000FF"/>
            <w:sz w:val="24"/>
            <w:szCs w:val="24"/>
            <w:u w:val="single"/>
            <w:rtl w:val="true"/>
          </w:rPr>
          <w:t>"</w:t>
        </w:r>
      </w:hyperlink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עיוני משפט כז </w:t>
      </w:r>
      <w:r>
        <w:rPr>
          <w:rFonts w:cs="Miriam" w:ascii="Miriam" w:hAnsi="Miriam"/>
          <w:sz w:val="24"/>
          <w:szCs w:val="24"/>
        </w:rPr>
        <w:t>23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 w:ascii="Miriam" w:hAnsi="Miriam"/>
          <w:sz w:val="24"/>
          <w:szCs w:val="24"/>
        </w:rPr>
        <w:t>40</w:t>
      </w:r>
      <w:r>
        <w:rPr>
          <w:rFonts w:cs="Miriam" w:ascii="Miriam" w:hAnsi="Miriam"/>
          <w:sz w:val="24"/>
          <w:szCs w:val="24"/>
          <w:rtl w:val="true"/>
        </w:rPr>
        <w:t xml:space="preserve"> (</w:t>
      </w:r>
      <w:r>
        <w:rPr>
          <w:rFonts w:cs="Miriam" w:ascii="Miriam" w:hAnsi="Miriam"/>
          <w:sz w:val="24"/>
          <w:szCs w:val="24"/>
        </w:rPr>
        <w:t>2004</w:t>
      </w:r>
      <w:r>
        <w:rPr>
          <w:rFonts w:cs="Miriam" w:ascii="Miriam" w:hAnsi="Miriam"/>
          <w:sz w:val="24"/>
          <w:szCs w:val="24"/>
          <w:rtl w:val="true"/>
        </w:rPr>
        <w:t xml:space="preserve">)). </w:t>
      </w:r>
      <w:r>
        <w:rPr>
          <w:rFonts w:ascii="Miriam" w:hAnsi="Miriam" w:cs="Miriam"/>
          <w:sz w:val="24"/>
          <w:sz w:val="24"/>
          <w:szCs w:val="24"/>
          <w:rtl w:val="true"/>
        </w:rPr>
        <w:t>על בית המשפט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כמו גם כל הרשויות הנוגעות בדבר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להפגין מסר חד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משמעי ותקיף השולל את התופעה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שלא ליתן פתחון פה לטוען כי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קיימת תפיסה ממסדית מקילה עד כדי הפקרות לגבי רוצחי נשים בחברה הערבית</w:t>
      </w:r>
      <w:r>
        <w:rPr>
          <w:rFonts w:cs="Miriam" w:ascii="Miriam" w:hAnsi="Miriam"/>
          <w:sz w:val="24"/>
          <w:szCs w:val="24"/>
          <w:rtl w:val="true"/>
        </w:rPr>
        <w:t>" (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מיכאל קרייני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על 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השלנו</w:t>
      </w:r>
      <w:r>
        <w:rPr>
          <w:rFonts w:cs="Miriam" w:ascii="Miriam" w:hAnsi="Miriam"/>
          <w:sz w:val="24"/>
          <w:szCs w:val="24"/>
          <w:rtl w:val="true"/>
        </w:rPr>
        <w:t xml:space="preserve">':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רב</w:t>
      </w:r>
      <w:r>
        <w:rPr>
          <w:rFonts w:cs="Miriam" w:ascii="Miriam" w:hAnsi="Miriam"/>
          <w:b/>
          <w:bCs/>
          <w:sz w:val="24"/>
          <w:szCs w:val="24"/>
          <w:rtl w:val="true"/>
        </w:rPr>
        <w:t>-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תרבותיות בהקשר הערבי</w:t>
      </w:r>
      <w:r>
        <w:rPr>
          <w:rFonts w:cs="Miriam" w:ascii="Miriam" w:hAnsi="Miriam"/>
          <w:b/>
          <w:bCs/>
          <w:sz w:val="24"/>
          <w:szCs w:val="24"/>
          <w:rtl w:val="true"/>
        </w:rPr>
        <w:t>-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יהודי</w:t>
      </w:r>
      <w:r>
        <w:rPr>
          <w:rFonts w:cs="Miriam" w:ascii="Miriam" w:hAnsi="Miriam"/>
          <w:sz w:val="24"/>
          <w:szCs w:val="24"/>
          <w:rtl w:val="true"/>
        </w:rPr>
        <w:t xml:space="preserve">"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עיוני משפט כז </w:t>
      </w:r>
      <w:r>
        <w:rPr>
          <w:rFonts w:cs="Miriam" w:ascii="Miriam" w:hAnsi="Miriam"/>
          <w:sz w:val="24"/>
          <w:szCs w:val="24"/>
        </w:rPr>
        <w:t>71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 w:ascii="Miriam" w:hAnsi="Miriam"/>
          <w:sz w:val="24"/>
          <w:szCs w:val="24"/>
        </w:rPr>
        <w:t>101</w:t>
      </w:r>
      <w:r>
        <w:rPr>
          <w:rFonts w:cs="Miriam" w:ascii="Miriam" w:hAnsi="Miriam"/>
          <w:sz w:val="24"/>
          <w:szCs w:val="24"/>
          <w:rtl w:val="true"/>
        </w:rPr>
        <w:t xml:space="preserve"> (</w:t>
      </w:r>
      <w:r>
        <w:rPr>
          <w:rFonts w:cs="Miriam" w:ascii="Miriam" w:hAnsi="Miriam"/>
          <w:sz w:val="24"/>
          <w:szCs w:val="24"/>
        </w:rPr>
        <w:t>2003</w:t>
      </w:r>
      <w:r>
        <w:rPr>
          <w:rFonts w:cs="Miriam" w:ascii="Miriam" w:hAnsi="Miriam"/>
          <w:sz w:val="24"/>
          <w:szCs w:val="24"/>
          <w:rtl w:val="true"/>
        </w:rPr>
        <w:t xml:space="preserve">)).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עוד על התופעה ראו חסאן מנאר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הפולטיקה של הכבוד</w:t>
      </w:r>
      <w:r>
        <w:rPr>
          <w:rFonts w:cs="Miriam" w:ascii="Miriam" w:hAnsi="Miriam"/>
          <w:b/>
          <w:bCs/>
          <w:sz w:val="24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הפטריארכיה</w:t>
      </w:r>
      <w:r>
        <w:rPr>
          <w:rFonts w:cs="Miriam" w:ascii="Miriam" w:hAnsi="Miriam"/>
          <w:b/>
          <w:bCs/>
          <w:sz w:val="24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cs="Miriam" w:ascii="Miriam" w:hAnsi="Miriam"/>
          <w:b/>
          <w:bCs/>
          <w:sz w:val="24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 xml:space="preserve">ורצח נשים </w:t>
      </w:r>
    </w:p>
    <w:p>
      <w:pPr>
        <w:pStyle w:val="Ruller41"/>
        <w:ind w:start="1440" w:end="0"/>
        <w:jc w:val="both"/>
        <w:rPr/>
      </w:pP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בשם כבוד המשפחה</w:t>
      </w:r>
      <w:r>
        <w:rPr>
          <w:rFonts w:cs="Miriam" w:ascii="Miriam" w:hAnsi="Miriam"/>
          <w:sz w:val="24"/>
          <w:szCs w:val="24"/>
          <w:rtl w:val="true"/>
        </w:rPr>
        <w:t xml:space="preserve">"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מין מגדר ופוליטיקה </w:t>
      </w:r>
      <w:r>
        <w:rPr>
          <w:rFonts w:cs="Miriam" w:ascii="Miriam" w:hAnsi="Miriam"/>
          <w:sz w:val="24"/>
          <w:szCs w:val="24"/>
        </w:rPr>
        <w:t>267</w:t>
      </w:r>
      <w:r>
        <w:rPr>
          <w:rFonts w:cs="Miriam" w:ascii="Miriam" w:hAnsi="Miriam"/>
          <w:sz w:val="24"/>
          <w:szCs w:val="24"/>
          <w:rtl w:val="true"/>
        </w:rPr>
        <w:t xml:space="preserve"> (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רוזן עורך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 w:ascii="Miriam" w:hAnsi="Miriam"/>
          <w:sz w:val="24"/>
          <w:szCs w:val="24"/>
        </w:rPr>
        <w:t>1999</w:t>
      </w:r>
      <w:r>
        <w:rPr>
          <w:rFonts w:cs="Miriam" w:ascii="Miriam" w:hAnsi="Miriam"/>
          <w:sz w:val="24"/>
          <w:szCs w:val="24"/>
          <w:rtl w:val="true"/>
        </w:rPr>
        <w:t xml:space="preserve">)). </w:t>
      </w:r>
    </w:p>
    <w:p>
      <w:pPr>
        <w:pStyle w:val="Ruller41"/>
        <w:ind w:start="1440"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 xml:space="preserve">על מקומה של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ההגנה התרבותית</w:t>
      </w:r>
      <w:r>
        <w:rPr>
          <w:rFonts w:cs="Miriam" w:ascii="Miriam" w:hAnsi="Miriam"/>
          <w:sz w:val="24"/>
          <w:szCs w:val="24"/>
          <w:rtl w:val="true"/>
        </w:rPr>
        <w:t xml:space="preserve">" </w:t>
      </w:r>
      <w:r>
        <w:rPr>
          <w:rFonts w:ascii="Miriam" w:hAnsi="Miriam" w:cs="Miriam"/>
          <w:sz w:val="24"/>
          <w:sz w:val="24"/>
          <w:szCs w:val="24"/>
          <w:rtl w:val="true"/>
        </w:rPr>
        <w:t>במשפט הפלילי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ראה סקירתו של כב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השופט 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ובראן ב</w:t>
      </w:r>
      <w:hyperlink r:id="rId18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4"/>
            <w:szCs w:val="24"/>
            <w:u w:val="single"/>
          </w:rPr>
          <w:t>10358/08</w:t>
        </w:r>
      </w:hyperlink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איסמאעיל אזברגה נ</w:t>
      </w:r>
      <w:r>
        <w:rPr>
          <w:rFonts w:cs="Miriam" w:ascii="Miriam" w:hAnsi="Miriam"/>
          <w:b/>
          <w:bCs/>
          <w:sz w:val="24"/>
          <w:szCs w:val="24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 w:ascii="Miriam" w:hAnsi="Miriam"/>
          <w:sz w:val="24"/>
          <w:szCs w:val="24"/>
        </w:rPr>
        <w:t>10.3.2010</w:t>
      </w:r>
      <w:r>
        <w:rPr>
          <w:rFonts w:cs="Miriam" w:ascii="Miriam" w:hAnsi="Miriam"/>
          <w:sz w:val="24"/>
          <w:szCs w:val="24"/>
          <w:rtl w:val="true"/>
        </w:rPr>
        <w:t xml:space="preserve">))".  </w:t>
      </w:r>
    </w:p>
    <w:p>
      <w:pPr>
        <w:pStyle w:val="Ruller41"/>
        <w:ind w:start="1440" w:end="0"/>
        <w:jc w:val="both"/>
        <w:rPr>
          <w:rFonts w:ascii="Miriam" w:hAnsi="Miriam" w:cs="Miriam"/>
          <w:sz w:val="2"/>
          <w:szCs w:val="2"/>
        </w:rPr>
      </w:pPr>
      <w:r>
        <w:rPr>
          <w:rFonts w:cs="Miriam" w:ascii="Miriam" w:hAnsi="Miriam"/>
          <w:sz w:val="2"/>
          <w:szCs w:val="2"/>
          <w:rtl w:val="true"/>
        </w:rPr>
      </w:r>
    </w:p>
    <w:p>
      <w:pPr>
        <w:pStyle w:val="Ruller41"/>
        <w:ind w:start="720" w:end="0"/>
        <w:jc w:val="both"/>
        <w:rPr>
          <w:rFonts w:ascii="Miriam" w:hAnsi="Miriam" w:cs="Miriam"/>
          <w:sz w:val="16"/>
          <w:szCs w:val="16"/>
        </w:rPr>
      </w:pPr>
      <w:r>
        <w:rPr>
          <w:rFonts w:cs="Miriam" w:ascii="Miriam" w:hAnsi="Miriam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 </w:t>
        <w:tab/>
      </w:r>
      <w:r>
        <w:rPr>
          <w:rFonts w:ascii="David" w:hAnsi="David"/>
          <w:rtl w:val="true"/>
        </w:rPr>
        <w:t>המאשימה עתרה להטלת מאסר עולם על הנאשם בגין כל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עתרה לענישה נוספת בגין עבירת הנשק שבביצועה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העובדה שהעונש המרבי הקבוע בצידה הוא עשר 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ההגנה נמנעה מלטעון דבר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בציינה כי הנאשם כופר בביצוע העבירות בהן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tl w:val="true"/>
        </w:rPr>
        <w:t xml:space="preserve">",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Ruller41"/>
        <w:ind w:start="1440" w:end="0"/>
        <w:jc w:val="both"/>
        <w:rPr>
          <w:rFonts w:ascii="Miriam" w:hAnsi="Miriam" w:cs="Miriam"/>
          <w:sz w:val="14"/>
          <w:szCs w:val="14"/>
        </w:rPr>
      </w:pPr>
      <w:r>
        <w:rPr>
          <w:rFonts w:cs="Miriam" w:ascii="Miriam" w:hAnsi="Miriam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בחנו את הסוגיה גם בהתאם לדין המתייחס לעבירת רצח לפי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301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301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לאחר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בחינה זו הביאה אותנו לכלל מסקנה לפיה העונש ההולם לנאשם בגין עבירת הרצח שביצע הוא מאסר עולם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בהעדר בקשה של המאשימה להטלת ענישה נוספת עקב עבירת הנשק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איננו רואים מקום להטיל על הנאשם ענישה מעבר לזו שנתבקשה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נעלם מעינינו כי ההגנה בחרה להימנע מלטעון לעונש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.  </w:t>
        <w:tab/>
      </w:r>
      <w:r>
        <w:rPr>
          <w:rFonts w:ascii="David" w:hAnsi="David"/>
          <w:b/>
          <w:b/>
          <w:bCs/>
          <w:rtl w:val="true"/>
        </w:rPr>
        <w:t>אשר על כן אנו גוזרים על הנאשם עונש של מאסר עולם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8"/>
          <w:szCs w:val="8"/>
        </w:rPr>
      </w:pPr>
      <w:r>
        <w:rPr>
          <w:rFonts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tl w:val="true"/>
        </w:rPr>
        <w:t>משגזרנו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פיצוי לנפגעי העבירה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 ביררה את עמדתם של ילדיה הבוגרים של המנוחה ביחס לפיצוי כספי בגין רצח אמם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והוברר כי איש מהם אינו מעוניין בפיצוי בגין רצח אמם המנוחה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העניין עמדה המאשימה רק על חיוב הנאשם בפיצויו של אחיו הצעיר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בנה הקטין של המנוחה –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ע המכונה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בייבי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 xml:space="preserve">אשר היה כבן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בעת הרצח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בייבי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מבלי לבקש את 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גילו הצעיר והנסיבות המיוחסות בהן שכל את אמו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הותירה את גובה הפיצוי לשיקול דעתו של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ההגנה ביקשה לדחות את בקשת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בטענה כי הנאשם הוא חסר 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בדירה השייכת לאביו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ומשנידון למאסר 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יהא באפשרותו לשאת בפיצוי הכספי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יושת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ונטל הפיצוי יוטל על אביו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לאחר ששקלנו את טיעוני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מחייבים את הנאשם לפצות את אחיו הצעיר ביותר בייבי בגין הנזקים שגרם לו בכך שרצח את אמו האהובה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קטע את אורח חייו כפי שהכירם לפני הרצח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ודן אותו לגדול במשפחה ללא 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 לטראומה הנוראה שנגרמה לו כתוצאה מכך שאמו נרצחה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אין צורך בדמיון רב או בתסקירי נפגע על מנת לתאר את הנזקים הנפשיים והרגשיים שנגרמו לילד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שהיה אז בן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בלבד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בגין המעשה הנורא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אנו מחייבים את הנאשם לשלם לאחיו הצעיר בייבי פיצויים מכוח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77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בסך של </w:t>
      </w:r>
      <w:r>
        <w:rPr>
          <w:rFonts w:cs="David" w:ascii="David" w:hAnsi="David"/>
        </w:rPr>
        <w:t>250,000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>סכום זה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1/9/19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לא ישולם סכום כלשהו במועדו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 הסכום כולו לפירעון 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ויתרתו תישא הפרשי הצמדה וריבית מהיום ועד ליום התשלום המלא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בפיצוי מלא בגין הסבל ועוגמת הנפש שגרם לאחיו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בפיצוי ראשוני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 כדי לאפשר לו לקבל טיפול נפשי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יזדקק לכך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לא נעלם מעינינו מצבם הכלכלי של הנאשם ובני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משנידון הנאשם למאסר 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יכולתו הכלכלית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העדר היכולת כנטען על ידי בא כוחו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אינם מהווים שיקול מכריע בפסיקת פיצויים לפי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77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ובקביעת שיעורם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לעניין זה ראו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שמעון אזולאי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6/3/17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</w:t>
      </w:r>
      <w:r>
        <w:rPr>
          <w:rFonts w:cs="David" w:ascii="David" w:hAnsi="David"/>
          <w:rtl w:val="true"/>
        </w:rPr>
        <w:t xml:space="preserve">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4200/13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21/8/13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2661/12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19/11/12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;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5761/05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דלאוי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24/7/06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כבר נפסק כי הפיצוי צריך לגלם בתוכו את חומרת הפגיעה בקורבנות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יש מקום להשתת פיצוי גם על מי שהורשע בעבירת רצח ונדון למאסר עולם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לדוגמא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6385/11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בניטה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3/12/12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נאור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דאז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2196/10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6304/12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ספרונוב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26/1/15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שהם</w:t>
      </w:r>
      <w:r>
        <w:rPr>
          <w:rFonts w:cs="David" w:ascii="David" w:hAnsi="David"/>
          <w:rtl w:val="true"/>
        </w:rPr>
        <w:t xml:space="preserve">;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2418/17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קוטינה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25/10/18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ניגוד העניינים האפשרי בין בייבי לבין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מחומר הראיות שהובא 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ממנים לבייבי אפוטרופוס לדין מלשכת הסיוע 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זהותו תובא לידיעתנו בתוך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זה – עד לפנייתו של האפוטרופוס לדין אל בית המשפט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תופקד המאשימה על הקשר עם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בייבי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האפוטרופוס לדין יפתח חשבון חסכון על שם בייבי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יובא לאישורו של בית המשפט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החשבון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החשבון יפתח בעת הגיעו של בייבי לגיל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שהאפוטרופוס לדין יביא בפניו את כל הנתונים הרלוונטיים הנדרשים בנדון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נאסר על הנאשם או מי מטעמו לפנות אל בייבי או אל האפוטרופוס לדין בעניין הפיצוי שנפסק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הפיצוי יופקד בקופת בית המשפט או ישולם באמצעות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ויועבר לבייבי על פי פרטים עדכניים שיימסרו על ידי המאשימה מעת לעת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יינתן משקל לוויתור כלשהו של בייבי לגבי הפיצוי שנפסק לו עד הגיעו לגיל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יישא בפיצוי במלואו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תעביר עותק מגזר הדין לאביו של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ע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בייבי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 לאפוטרופוס לדין שיתמנה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color w:val="1F497D"/>
          <w:sz w:val="22"/>
          <w:szCs w:val="22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1F497D"/>
          <w:sz w:val="22"/>
          <w:szCs w:val="22"/>
          <w:u w:val="single"/>
        </w:rPr>
      </w:pPr>
      <w:r>
        <w:rPr>
          <w:rFonts w:cs="Arial" w:ascii="Arial" w:hAnsi="Arial"/>
          <w:b/>
          <w:bCs/>
          <w:color w:val="1F497D"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  <w:bookmarkEnd w:id="11"/>
    </w:p>
    <w:tbl>
      <w:tblPr>
        <w:tblpPr w:vertAnchor="text" w:horzAnchor="margin" w:tblpXSpec="right" w:leftFromText="180" w:tblpY="53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סלע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שופטת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ס</w:t>
            </w:r>
            <w:r>
              <w:rPr>
                <w:rFonts w:cs="FrankRuehl"/>
                <w:rtl w:val="true"/>
              </w:rPr>
              <w:t xml:space="preserve">. </w:t>
            </w:r>
            <w:r>
              <w:rPr>
                <w:rFonts w:cs="FrankRuehl"/>
                <w:rtl w:val="true"/>
              </w:rPr>
              <w:t>הנשיא</w:t>
            </w:r>
            <w:r>
              <w:rPr>
                <w:rFonts w:cs="FrankRuehl"/>
                <w:rtl w:val="true"/>
              </w:rPr>
              <w:t>, [</w:t>
            </w:r>
            <w:r>
              <w:rPr>
                <w:rFonts w:cs="FrankRuehl"/>
                <w:rtl w:val="true"/>
              </w:rPr>
              <w:t>אב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ד</w:t>
            </w:r>
            <w:r>
              <w:rPr>
                <w:rFonts w:cs="FrankRuehl"/>
                <w:rtl w:val="true"/>
              </w:rPr>
              <w:t>]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cs="FrankRuehl"/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לוי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cs="FrankRuehl"/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קוטון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7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37367-09-16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Ruller4">
    <w:name w:val="Ruller4 תו"/>
    <w:qFormat/>
    <w:rPr>
      <w:rFonts w:ascii="Arial TUR;Arial" w:hAnsi="Arial TUR;Arial" w:cs="Arial TUR;Arial"/>
      <w:spacing w:val="10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0.a" TargetMode="External"/><Relationship Id="rId6" Type="http://schemas.openxmlformats.org/officeDocument/2006/relationships/hyperlink" Target="http://www.nevo.co.il/law/70301/300.a.1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01a.a.1" TargetMode="External"/><Relationship Id="rId9" Type="http://schemas.openxmlformats.org/officeDocument/2006/relationships/hyperlink" Target="http://www.nevo.co.il/law/70301/301a.a.5" TargetMode="External"/><Relationship Id="rId10" Type="http://schemas.openxmlformats.org/officeDocument/2006/relationships/hyperlink" Target="http://www.nevo.co.il/safrut/book/6865" TargetMode="External"/><Relationship Id="rId11" Type="http://schemas.openxmlformats.org/officeDocument/2006/relationships/hyperlink" Target="http://www.nevo.co.il/safrut/book/6865" TargetMode="External"/><Relationship Id="rId12" Type="http://schemas.openxmlformats.org/officeDocument/2006/relationships/hyperlink" Target="http://www.nevo.co.il/law/70301/300.a.1" TargetMode="External"/><Relationship Id="rId13" Type="http://schemas.openxmlformats.org/officeDocument/2006/relationships/hyperlink" Target="http://www.nevo.co.il/law/70301/300.a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case/5915123" TargetMode="External"/><Relationship Id="rId17" Type="http://schemas.openxmlformats.org/officeDocument/2006/relationships/hyperlink" Target="http://www.nevo.co.il/safrut/book/6865" TargetMode="External"/><Relationship Id="rId18" Type="http://schemas.openxmlformats.org/officeDocument/2006/relationships/hyperlink" Target="http://www.nevo.co.il/case/6169000" TargetMode="External"/><Relationship Id="rId19" Type="http://schemas.openxmlformats.org/officeDocument/2006/relationships/hyperlink" Target="http://www.nevo.co.il/law/70301/300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01a.a.1" TargetMode="External"/><Relationship Id="rId23" Type="http://schemas.openxmlformats.org/officeDocument/2006/relationships/hyperlink" Target="http://www.nevo.co.il/law/70301/301a.a.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77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7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17043259" TargetMode="External"/><Relationship Id="rId30" Type="http://schemas.openxmlformats.org/officeDocument/2006/relationships/hyperlink" Target="http://www.nevo.co.il/case/7965117" TargetMode="External"/><Relationship Id="rId31" Type="http://schemas.openxmlformats.org/officeDocument/2006/relationships/hyperlink" Target="http://www.nevo.co.il/case/6244398" TargetMode="External"/><Relationship Id="rId32" Type="http://schemas.openxmlformats.org/officeDocument/2006/relationships/hyperlink" Target="http://www.nevo.co.il/case/6031891" TargetMode="External"/><Relationship Id="rId33" Type="http://schemas.openxmlformats.org/officeDocument/2006/relationships/hyperlink" Target="http://www.nevo.co.il/case/5594427" TargetMode="External"/><Relationship Id="rId34" Type="http://schemas.openxmlformats.org/officeDocument/2006/relationships/hyperlink" Target="http://www.nevo.co.il/case/5574340" TargetMode="External"/><Relationship Id="rId35" Type="http://schemas.openxmlformats.org/officeDocument/2006/relationships/hyperlink" Target="http://www.nevo.co.il/case/22495714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2020-01-16T11:37:00Z</dcterms:created>
  <dc:creator> </dc:creator>
  <dc:description/>
  <cp:keywords/>
  <dc:language>en-IL</dc:language>
  <cp:lastModifiedBy>yafit</cp:lastModifiedBy>
  <cp:lastPrinted>2019-07-01T09:42:00Z</cp:lastPrinted>
  <dcterms:modified xsi:type="dcterms:W3CDTF">2020-01-16T11:37:00Z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6865</vt:lpwstr>
  </property>
  <property fmtid="{D5CDD505-2E9C-101B-9397-08002B2CF9AE}" pid="9" name="CASENOTES1">
    <vt:lpwstr>ProcID=133;209&amp;PartA=2196&amp;PartC=10</vt:lpwstr>
  </property>
  <property fmtid="{D5CDD505-2E9C-101B-9397-08002B2CF9AE}" pid="10" name="CASESLISTTMP1">
    <vt:lpwstr>5915123;6169000;17043259;7965117;6244398;6031891;5594427;5574340;22495714</vt:lpwstr>
  </property>
  <property fmtid="{D5CDD505-2E9C-101B-9397-08002B2CF9AE}" pid="11" name="CITY">
    <vt:lpwstr>חי'</vt:lpwstr>
  </property>
  <property fmtid="{D5CDD505-2E9C-101B-9397-08002B2CF9AE}" pid="12" name="DATE">
    <vt:lpwstr>20190703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דיאנה סלע;אבי לוי;ערן קוטון</vt:lpwstr>
  </property>
  <property fmtid="{D5CDD505-2E9C-101B-9397-08002B2CF9AE}" pid="16" name="LAWLISTTMP1">
    <vt:lpwstr>70301/300.a.1;300.a.2;144.b;300.a;301a.a.1;301a.a.5;077:2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37367</vt:lpwstr>
  </property>
  <property fmtid="{D5CDD505-2E9C-101B-9397-08002B2CF9AE}" pid="24" name="NEWPARTB">
    <vt:lpwstr>09</vt:lpwstr>
  </property>
  <property fmtid="{D5CDD505-2E9C-101B-9397-08002B2CF9AE}" pid="25" name="NEWPARTC">
    <vt:lpwstr>16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390020190703</vt:lpwstr>
  </property>
  <property fmtid="{D5CDD505-2E9C-101B-9397-08002B2CF9AE}" pid="36" name="TYPE_N_DATE">
    <vt:lpwstr>39020190703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