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37913-06-10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פטאפטה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  סגל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  דרורי ומשה יועד הכהן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כעיד פטאפטה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039315718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דני ויטמן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מפרקליטות מחוז ירושלים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דוד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דרעי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מתורגמן בית המשפט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30"/>
          <w:szCs w:val="30"/>
          <w:u w:val="single"/>
        </w:rPr>
      </w:pPr>
      <w:r>
        <w:rPr>
          <w:rFonts w:eastAsia="David" w:cs="David" w:ascii="David" w:hAnsi="David"/>
          <w:b/>
          <w:bCs/>
          <w:sz w:val="30"/>
          <w:szCs w:val="30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בגדר הסדר בין הצדדים הודה הנאשם והורשע בעובדות כתב אישום מתוקן שהוגש נגדו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מעובדות כתב האישום המתוקן שהוגש נגד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ביום </w:t>
      </w:r>
      <w:r>
        <w:rPr>
          <w:rFonts w:cs="David" w:ascii="David" w:hAnsi="David"/>
        </w:rPr>
        <w:t>28.2.10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בביתו של הנאשם ואחיו מוסא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בשכונת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טור 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פגשו השניים אדם 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עיסא עבאסי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rtl w:val="true"/>
        </w:rPr>
        <w:t>עיסא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 w:cs="David"/>
          <w:rtl w:val="true"/>
        </w:rPr>
        <w:t>באותו 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הצטיידו הנאשם ועיסא  באקדחים שהיו מוסלקים בביתם וטענו את מחסניות האקדחים בכדורים במטרה לעשות שימוש באקדחים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עיסא הציע לירות ברכב מאבטחי הישוב היהודי עיר 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בעוד הנאשם ומוסא העדיפו לירות לעבר ביתו של אבו תאיה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עמו היה לנאשם ולמוסא סכסוך קודם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זמן מה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ביום </w:t>
      </w:r>
      <w:r>
        <w:rPr>
          <w:rFonts w:cs="David" w:ascii="David" w:hAnsi="David"/>
        </w:rPr>
        <w:t>1.3.10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סמוך לשעה </w:t>
      </w:r>
      <w:r>
        <w:rPr>
          <w:rFonts w:cs="David" w:ascii="David" w:hAnsi="David"/>
        </w:rPr>
        <w:t>01:30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הוביל מוסא ברכב את הנאשם ועיסא מביתם של מוסא והנאשם לכיוון הר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שרם אלשייח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הנמצא סמוך למסלול הנסיעה של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 המאבטחים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ועיסא התמקמו סמוך לכניסה למסגד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עין אללוזה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והמתינו במשך כשעה להגעת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 הליווי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בשעת המתנתם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דחק הנאשם בעיסא לעזוב את המקום ולירות על ביתו של אבו תאיה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בסופו של יום נותר במקום בצוותא עם עיסא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בחלוף כשעה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עת חלף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 הליווי בסמוך לנאשם ולעיסא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שלפו השניים את אקדחיהם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כיוונו אותם לעבר 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עיסא ירה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כדורים שפגעו לאורך הדופן הימנית של 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זאת בכוונה לגרום למותו של המאבטח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ואילו מאקדחו של הנאשם לא נורו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כתוצאה מן הירי האמור חדרו מספר כדורים אל 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המאבטח דב וייזל שישב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 נפצע ברגלו ונזקק לקבלת 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יפ נגרם נזק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בעת שרכש הנאשם את האקדח וביצע את המעשים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היה ברשותו רישיון 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עובדות האישום השני שיוחסו לנאשם בתיק זה מלמדות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במהלך 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התגלע סכסוך כספי בין הנאשם לבין אבו תאיה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בגדרו טען הנאשם כי אבו תאיה חייב לו סכומי כסף נכבדים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הוא פנה אל אבו תאיה מספר פעמים בדרישה לקבל את כספו בחזרה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ומשסרב האחרון לשלם את החוב לו טען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הגיע הנאשם סמוך לחנותו של אבו תאיה בסילוואן בעודו חמוש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ירה באמצעות האקדח שהחזיק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כדורים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בכוונה לאיים על אבו תאיה בפגיעה שלא כדין בגופו ובנכסיו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מנת להפחידו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אף בעת הזאת לא היה ברשותו של הנאשם רישיון להחזקת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בגין שני האישומים הנ</w:t>
      </w:r>
      <w:r>
        <w:rPr>
          <w:rtl w:val="true"/>
        </w:rPr>
        <w:t>"</w:t>
      </w:r>
      <w:r>
        <w:rPr>
          <w:rtl w:val="true"/>
        </w:rPr>
        <w:t>ל הורשע 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</w:t>
      </w:r>
      <w:r>
        <w:rPr>
          <w:rtl w:val="true"/>
        </w:rPr>
        <w:t xml:space="preserve">, </w:t>
      </w:r>
      <w:r>
        <w:rPr>
          <w:rtl w:val="true"/>
        </w:rPr>
        <w:t>בעבירות של סיוע לניסיון רצח</w:t>
      </w:r>
      <w:r>
        <w:rPr>
          <w:rtl w:val="true"/>
        </w:rPr>
        <w:t xml:space="preserve">,  </w:t>
      </w:r>
      <w:r>
        <w:rPr>
          <w:rtl w:val="true"/>
        </w:rPr>
        <w:t xml:space="preserve">נשיאת נשק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), </w:t>
      </w:r>
      <w:r>
        <w:rPr>
          <w:rtl w:val="true"/>
        </w:rPr>
        <w:t xml:space="preserve">ואיומים </w:t>
      </w:r>
      <w:r>
        <w:rPr>
          <w:rtl w:val="true"/>
        </w:rPr>
        <w:t>–</w:t>
      </w:r>
      <w:r>
        <w:rPr>
          <w:rtl w:val="true"/>
        </w:rPr>
        <w:t xml:space="preserve"> לפי סעיפים </w:t>
      </w:r>
      <w:r>
        <w:rPr/>
        <w:t>305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31</w:t>
      </w:r>
      <w:r>
        <w:rPr>
          <w:rtl w:val="true"/>
        </w:rPr>
        <w:t xml:space="preserve">,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במסגרת טיעוניו לעונש עמד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ויטמן</w:t>
      </w:r>
      <w:r>
        <w:rPr>
          <w:rtl w:val="true"/>
        </w:rPr>
        <w:t xml:space="preserve">, </w:t>
      </w:r>
      <w:r>
        <w:rPr>
          <w:rtl w:val="true"/>
        </w:rPr>
        <w:t>על החומרה הרבה שבמעשה הנאשם ועתר להשתת עונש מאסר משמעותי</w:t>
      </w:r>
      <w:r>
        <w:rPr>
          <w:rtl w:val="true"/>
        </w:rPr>
        <w:t xml:space="preserve">, </w:t>
      </w:r>
      <w:r>
        <w:rPr>
          <w:rtl w:val="true"/>
        </w:rPr>
        <w:t>תוך שצרף לטיעוניו פסיקה התומכת בעמדתו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דרעי</w:t>
      </w:r>
      <w:r>
        <w:rPr>
          <w:rtl w:val="true"/>
        </w:rPr>
        <w:t xml:space="preserve">, </w:t>
      </w:r>
      <w:r>
        <w:rPr>
          <w:rtl w:val="true"/>
        </w:rPr>
        <w:t>מנגד לכך</w:t>
      </w:r>
      <w:r>
        <w:rPr>
          <w:rtl w:val="true"/>
        </w:rPr>
        <w:t xml:space="preserve">, </w:t>
      </w:r>
      <w:r>
        <w:rPr>
          <w:rtl w:val="true"/>
        </w:rPr>
        <w:t>עמד על נסיבותיו המיוחדות של הנאשם ועל הנסיבות המקלות שבאירועים נשוא כתב האישום</w:t>
      </w:r>
      <w:r>
        <w:rPr>
          <w:rtl w:val="true"/>
        </w:rPr>
        <w:t xml:space="preserve">. </w:t>
      </w:r>
      <w:r>
        <w:rPr>
          <w:rtl w:val="true"/>
        </w:rPr>
        <w:t>גם ב</w:t>
      </w:r>
      <w:r>
        <w:rPr>
          <w:rtl w:val="true"/>
        </w:rPr>
        <w:t>"</w:t>
      </w:r>
      <w:r>
        <w:rPr>
          <w:rtl w:val="true"/>
        </w:rPr>
        <w:t>כ הנאשם צרף פסקי דין מטעמו תוך שאבחן את פסקי הדין שהוגשו על ידי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אין צורך להכביר מילים</w:t>
      </w:r>
      <w:r>
        <w:rPr>
          <w:rtl w:val="true"/>
        </w:rPr>
        <w:t xml:space="preserve">, </w:t>
      </w:r>
      <w:r>
        <w:rPr>
          <w:rtl w:val="true"/>
        </w:rPr>
        <w:t>בדבר חומרת מעשה הנאשם</w:t>
      </w:r>
      <w:r>
        <w:rPr>
          <w:rtl w:val="true"/>
        </w:rPr>
        <w:t xml:space="preserve">. </w:t>
      </w:r>
      <w:r>
        <w:rPr>
          <w:rtl w:val="true"/>
        </w:rPr>
        <w:t>גם אם בשלב מסוים  דחק הנאשם בעיסא לעזוב את המקום</w:t>
      </w:r>
      <w:r>
        <w:rPr>
          <w:rtl w:val="true"/>
        </w:rPr>
        <w:t xml:space="preserve">, </w:t>
      </w:r>
      <w:r>
        <w:rPr>
          <w:rtl w:val="true"/>
        </w:rPr>
        <w:t>הרי היתה בידיו האפשרות לנקוט בצעד זה באופן עצמאי</w:t>
      </w:r>
      <w:r>
        <w:rPr>
          <w:rtl w:val="true"/>
        </w:rPr>
        <w:t xml:space="preserve">,  </w:t>
      </w:r>
      <w:r>
        <w:rPr>
          <w:rtl w:val="true"/>
        </w:rPr>
        <w:t>אך הוא בחר</w:t>
      </w:r>
      <w:r>
        <w:rPr>
          <w:rtl w:val="true"/>
        </w:rPr>
        <w:t xml:space="preserve">,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להאיץ בעיסא לשנות את יעד הירי ולירות דווקא  על ביתו של אבו תאיה</w:t>
      </w:r>
      <w:r>
        <w:rPr>
          <w:rtl w:val="true"/>
        </w:rPr>
        <w:t xml:space="preserve">. </w:t>
      </w:r>
      <w:r>
        <w:rPr>
          <w:rtl w:val="true"/>
        </w:rPr>
        <w:t>משלא צלח בידיו הדבר</w:t>
      </w:r>
      <w:r>
        <w:rPr>
          <w:rtl w:val="true"/>
        </w:rPr>
        <w:t xml:space="preserve">, </w:t>
      </w:r>
      <w:r>
        <w:rPr>
          <w:rtl w:val="true"/>
        </w:rPr>
        <w:t>יכול היה שוב לעזוב את המקום</w:t>
      </w:r>
      <w:r>
        <w:rPr>
          <w:rtl w:val="true"/>
        </w:rPr>
        <w:t xml:space="preserve">, </w:t>
      </w:r>
      <w:r>
        <w:rPr>
          <w:rtl w:val="true"/>
        </w:rPr>
        <w:t>אך נותר על מקומו גם בעת שג</w:t>
      </w:r>
      <w:r>
        <w:rPr>
          <w:rtl w:val="true"/>
        </w:rPr>
        <w:t>'</w:t>
      </w:r>
      <w:r>
        <w:rPr>
          <w:rtl w:val="true"/>
        </w:rPr>
        <w:t>יפ הליווי התקרב למקום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 שלף אף הוא את אקדחו</w:t>
      </w:r>
      <w:r>
        <w:rPr>
          <w:rtl w:val="true"/>
        </w:rPr>
        <w:t xml:space="preserve">, </w:t>
      </w:r>
      <w:r>
        <w:rPr>
          <w:rtl w:val="true"/>
        </w:rPr>
        <w:t>אם כי כאמור לא ירה בו</w:t>
      </w:r>
      <w:r>
        <w:rPr>
          <w:rtl w:val="true"/>
        </w:rPr>
        <w:t xml:space="preserve">, </w:t>
      </w:r>
      <w:r>
        <w:rPr>
          <w:rtl w:val="true"/>
        </w:rPr>
        <w:t xml:space="preserve">אלא נכח וסייע לעיסא שעה שהלה ירה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. 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גם אם נקבל את טענות ב</w:t>
      </w:r>
      <w:r>
        <w:rPr>
          <w:rtl w:val="true"/>
        </w:rPr>
        <w:t>"</w:t>
      </w:r>
      <w:r>
        <w:rPr>
          <w:rtl w:val="true"/>
        </w:rPr>
        <w:t>כ הנאשם ואת דברי הנאשם עצמו כי הוא פעל ללא מניע לאומני וללא כוונות עוינות</w:t>
      </w:r>
      <w:r>
        <w:rPr>
          <w:rtl w:val="true"/>
        </w:rPr>
        <w:t xml:space="preserve">, </w:t>
      </w:r>
      <w:r>
        <w:rPr>
          <w:rtl w:val="true"/>
        </w:rPr>
        <w:t>בהעדר כל אוריינטציה לפעילות טרור מצידו</w:t>
      </w:r>
      <w:r>
        <w:rPr>
          <w:rtl w:val="true"/>
        </w:rPr>
        <w:t xml:space="preserve">, </w:t>
      </w:r>
      <w:r>
        <w:rPr>
          <w:rtl w:val="true"/>
        </w:rPr>
        <w:t>עדיין קיימת חומרה יתרה במעשיו כמות שהם</w:t>
      </w:r>
      <w:r>
        <w:rPr>
          <w:rtl w:val="true"/>
        </w:rPr>
        <w:t xml:space="preserve">. </w:t>
      </w:r>
      <w:r>
        <w:rPr>
          <w:rtl w:val="true"/>
        </w:rPr>
        <w:t>המסוכנות הרבה שבמעשיו אינה שנויה במחלוקת</w:t>
      </w:r>
      <w:r>
        <w:rPr>
          <w:rtl w:val="true"/>
        </w:rPr>
        <w:t xml:space="preserve">; </w:t>
      </w:r>
      <w:r>
        <w:rPr>
          <w:rtl w:val="true"/>
        </w:rPr>
        <w:t>מסוכנות הטמונה בהחזקת אמצעי לחימה ממשיים</w:t>
      </w:r>
      <w:r>
        <w:rPr>
          <w:rtl w:val="true"/>
        </w:rPr>
        <w:t xml:space="preserve">, </w:t>
      </w:r>
      <w:r>
        <w:rPr>
          <w:rtl w:val="true"/>
        </w:rPr>
        <w:t>על כל המשתמע מכך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מידת חומרת מעשיו איננה עולה כדי חומרת מעשיו של עיסא</w:t>
      </w:r>
      <w:r>
        <w:rPr>
          <w:rtl w:val="true"/>
        </w:rPr>
        <w:t xml:space="preserve">, </w:t>
      </w:r>
      <w:r>
        <w:rPr>
          <w:rtl w:val="true"/>
        </w:rPr>
        <w:t>אשר יזם את הפעילות ואף ירה בנשק בניסיון לרצוח את נוהג ג</w:t>
      </w:r>
      <w:r>
        <w:rPr>
          <w:rtl w:val="true"/>
        </w:rPr>
        <w:t>'</w:t>
      </w:r>
      <w:r>
        <w:rPr>
          <w:rtl w:val="true"/>
        </w:rPr>
        <w:t>יפ הליווי</w:t>
      </w:r>
      <w:r>
        <w:rPr>
          <w:rtl w:val="true"/>
        </w:rPr>
        <w:t xml:space="preserve">, </w:t>
      </w:r>
      <w:r>
        <w:rPr>
          <w:rtl w:val="true"/>
        </w:rPr>
        <w:t>אך לא ניתן להתעלם מן העובדה</w:t>
      </w:r>
      <w:r>
        <w:rPr>
          <w:rtl w:val="true"/>
        </w:rPr>
        <w:t xml:space="preserve">, </w:t>
      </w:r>
      <w:r>
        <w:rPr>
          <w:rtl w:val="true"/>
        </w:rPr>
        <w:t>שבפעולתו של הנאשם היה כדי לסייע לפגיעה קשה באזרח ישראלי</w:t>
      </w:r>
      <w:r>
        <w:rPr>
          <w:rtl w:val="true"/>
        </w:rPr>
        <w:t xml:space="preserve">. </w:t>
      </w:r>
      <w:r>
        <w:rPr>
          <w:rtl w:val="true"/>
        </w:rPr>
        <w:t xml:space="preserve">כל חולייה בשרשרת פעילות הירי במקרה דנן היא חשובה ונדרשת אפוא החמרה אף בעונשו של המסייע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מהתנהגותו של הנאשם הנלמדת גם מהאישום השני</w:t>
      </w:r>
      <w:r>
        <w:rPr>
          <w:rtl w:val="true"/>
        </w:rPr>
        <w:t xml:space="preserve">, </w:t>
      </w:r>
      <w:r>
        <w:rPr>
          <w:rtl w:val="true"/>
        </w:rPr>
        <w:t>ניכר בו כי הוא איננו מהסס להשתמש בנשק לצורך יישוב סכסוכים וכי ידו קלה על ההדק וזהו פן נוסף לחומרה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בהתחשב בכל האמור לעיל</w:t>
      </w:r>
      <w:r>
        <w:rPr>
          <w:rtl w:val="true"/>
        </w:rPr>
        <w:t xml:space="preserve">, </w:t>
      </w:r>
      <w:r>
        <w:rPr>
          <w:rtl w:val="true"/>
        </w:rPr>
        <w:t>כמו גם בהתחשב בנסיבותיו האישיות של הנאשם כפי שפורטו בהרחבה על</w:t>
      </w:r>
      <w:r>
        <w:rPr>
          <w:rtl w:val="true"/>
        </w:rPr>
        <w:t>-</w:t>
      </w:r>
      <w:r>
        <w:rPr>
          <w:rtl w:val="true"/>
        </w:rPr>
        <w:t>ידי ב</w:t>
      </w:r>
      <w:r>
        <w:rPr>
          <w:rtl w:val="true"/>
        </w:rPr>
        <w:t>"</w:t>
      </w:r>
      <w:r>
        <w:rPr>
          <w:rtl w:val="true"/>
        </w:rPr>
        <w:t>כ המלומד</w:t>
      </w:r>
      <w:r>
        <w:rPr>
          <w:rtl w:val="true"/>
        </w:rPr>
        <w:t xml:space="preserve">, </w:t>
      </w:r>
      <w:r>
        <w:rPr>
          <w:rtl w:val="true"/>
        </w:rPr>
        <w:t>בהעדר הרשעות קודמות</w:t>
      </w:r>
      <w:r>
        <w:rPr>
          <w:rtl w:val="true"/>
        </w:rPr>
        <w:t xml:space="preserve">, </w:t>
      </w:r>
      <w:r>
        <w:rPr>
          <w:rtl w:val="true"/>
        </w:rPr>
        <w:t>ובהתחשב בגילו</w:t>
      </w:r>
      <w:r>
        <w:rPr>
          <w:rtl w:val="true"/>
        </w:rPr>
        <w:t xml:space="preserve">, </w:t>
      </w:r>
      <w:r>
        <w:rPr>
          <w:rtl w:val="true"/>
        </w:rPr>
        <w:t>וכן בהתחשב בהודאתו באשמה ובכתב האישום המתוקן בו הודה</w:t>
      </w:r>
      <w:r>
        <w:rPr>
          <w:rtl w:val="true"/>
        </w:rPr>
        <w:t xml:space="preserve">, </w:t>
      </w:r>
      <w:r>
        <w:rPr>
          <w:rtl w:val="true"/>
        </w:rPr>
        <w:t>שבסופו של דבר היה קל יותר מכתב האישום המקורי</w:t>
      </w:r>
      <w:r>
        <w:rPr>
          <w:rtl w:val="true"/>
        </w:rPr>
        <w:t xml:space="preserve">, </w:t>
      </w:r>
      <w:r>
        <w:rPr>
          <w:rtl w:val="true"/>
        </w:rPr>
        <w:t>באנו לכלל מסקנה כי יש לגזור על הנאשם את העונשים כדלקמן</w:t>
      </w:r>
      <w:r>
        <w:rPr>
          <w:rtl w:val="true"/>
        </w:rPr>
        <w:t>: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החל מיום מעצרו בתיק זה</w:t>
      </w:r>
      <w:r>
        <w:rPr>
          <w:rtl w:val="true"/>
        </w:rPr>
        <w:t xml:space="preserve">, </w:t>
      </w:r>
      <w:r>
        <w:rPr/>
        <w:t>30.5.10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שלא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ממאסרו עבירה כלשהי מסוג פשע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הודעה לנאשם זכותו לערער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לבית המשפט העליון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ג</w:t>
      </w:r>
      <w:r>
        <w:rPr>
          <w:b/>
          <w:bCs/>
          <w:sz w:val="28"/>
          <w:szCs w:val="28"/>
          <w:rtl w:val="true"/>
        </w:rPr>
        <w:t xml:space="preserve">'  </w:t>
      </w:r>
      <w:r>
        <w:rPr>
          <w:b/>
          <w:b/>
          <w:bCs/>
          <w:sz w:val="28"/>
          <w:sz w:val="28"/>
          <w:szCs w:val="28"/>
          <w:rtl w:val="true"/>
        </w:rPr>
        <w:t>אדר ב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09/03/2011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צבי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סגל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משה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דרורי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משה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יועד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הכהן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סינואני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37913-06-10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כעיד פטאפטה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2011-03-13T12:41:00Z</dcterms:created>
  <dc:creator> </dc:creator>
  <dc:description/>
  <cp:keywords/>
  <dc:language>en-IL</dc:language>
  <cp:lastModifiedBy>hofit</cp:lastModifiedBy>
  <dcterms:modified xsi:type="dcterms:W3CDTF">2011-03-13T12:41:00Z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כעיד פטאפטה</vt:lpwstr>
  </property>
  <property fmtid="{D5CDD505-2E9C-101B-9397-08002B2CF9AE}" pid="4" name="CITY">
    <vt:lpwstr>י-ם</vt:lpwstr>
  </property>
  <property fmtid="{D5CDD505-2E9C-101B-9397-08002B2CF9AE}" pid="5" name="DATE">
    <vt:lpwstr>20110309</vt:lpwstr>
  </property>
  <property fmtid="{D5CDD505-2E9C-101B-9397-08002B2CF9AE}" pid="6" name="JUDGE">
    <vt:lpwstr>צבי סגל;משה דרורי ומשה יועד הכהן</vt:lpwstr>
  </property>
  <property fmtid="{D5CDD505-2E9C-101B-9397-08002B2CF9AE}" pid="7" name="LAWYER">
    <vt:lpwstr>דני ויטמן;מפרקליטות מחוז ירושלים;ו דוד דרעי</vt:lpwstr>
  </property>
  <property fmtid="{D5CDD505-2E9C-101B-9397-08002B2CF9AE}" pid="8" name="NEWPARTA">
    <vt:lpwstr>37913</vt:lpwstr>
  </property>
  <property fmtid="{D5CDD505-2E9C-101B-9397-08002B2CF9AE}" pid="9" name="NEWPARTB">
    <vt:lpwstr>06</vt:lpwstr>
  </property>
  <property fmtid="{D5CDD505-2E9C-101B-9397-08002B2CF9AE}" pid="10" name="NEWPARTC">
    <vt:lpwstr>10</vt:lpwstr>
  </property>
  <property fmtid="{D5CDD505-2E9C-101B-9397-08002B2CF9AE}" pid="11" name="NEWPROC">
    <vt:lpwstr>תפח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10 06 37913 190 htm</vt:lpwstr>
  </property>
  <property fmtid="{D5CDD505-2E9C-101B-9397-08002B2CF9AE}" pid="14" name="TYPE">
    <vt:lpwstr>2</vt:lpwstr>
  </property>
  <property fmtid="{D5CDD505-2E9C-101B-9397-08002B2CF9AE}" pid="15" name="TYPE_ABS_DATE">
    <vt:lpwstr>390020110309</vt:lpwstr>
  </property>
  <property fmtid="{D5CDD505-2E9C-101B-9397-08002B2CF9AE}" pid="16" name="TYPE_N_DATE">
    <vt:lpwstr>39020110309</vt:lpwstr>
  </property>
  <property fmtid="{D5CDD505-2E9C-101B-9397-08002B2CF9AE}" pid="17" name="WORDNUMPAGES">
    <vt:lpwstr>3</vt:lpwstr>
  </property>
</Properties>
</file>