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38855-08-10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קריגר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  <w:lang w:val="en-US" w:eastAsia="en-US"/>
        </w:rPr>
      </w:pPr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הרכב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השופטים</w:t>
            </w:r>
            <w:r>
              <w:rPr>
                <w:b/>
                <w:bCs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א</w:t>
            </w:r>
            <w:r>
              <w:rPr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שיף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val="en-US" w:eastAsia="en-US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b/>
                <w:bCs/>
                <w:rtl w:val="true"/>
                <w:lang w:val="en-US" w:eastAsia="en-US"/>
              </w:rPr>
              <w:t>],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ח</w:t>
            </w:r>
            <w:r>
              <w:rPr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הורוביץ</w:t>
            </w:r>
            <w:r>
              <w:rPr>
                <w:b/>
                <w:bCs/>
                <w:rtl w:val="true"/>
                <w:lang w:val="en-US" w:eastAsia="en-US"/>
              </w:rPr>
              <w:t>,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צ</w:t>
            </w:r>
            <w:r>
              <w:rPr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val="en-US" w:eastAsia="en-US"/>
              </w:rPr>
              <w:t>קינן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ח –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ראניה סרוג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פבל קריגר ת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ז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עאדל 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>.</w:t>
        <w:tab/>
        <w:tab/>
      </w:r>
      <w:r>
        <w:rPr>
          <w:b/>
          <w:b/>
          <w:bCs/>
          <w:u w:val="single"/>
          <w:rtl w:val="true"/>
          <w:lang w:val="en-US" w:eastAsia="en-US"/>
        </w:rPr>
        <w:t>תמצית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הכרעת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הדין</w:t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11" w:name="ABSTRACT_START"/>
      <w:bookmarkEnd w:id="11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להודייתו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12" w:name="ABSTRACT_END"/>
      <w:bookmarkEnd w:id="12"/>
      <w:r>
        <w:rPr>
          <w:rtl w:val="true"/>
          <w:lang w:val="en-US" w:eastAsia="en-US"/>
        </w:rPr>
        <w:t>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סליבנוב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אלכסנדר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ואדוארד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רקסקי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אדוארד</w:t>
      </w:r>
      <w:r>
        <w:rPr>
          <w:rtl w:val="true"/>
          <w:lang w:val="en-US" w:eastAsia="en-US"/>
        </w:rPr>
        <w:t>") (</w:t>
      </w:r>
      <w:r>
        <w:rPr>
          <w:rtl w:val="true"/>
          <w:lang w:val="en-US" w:eastAsia="en-US"/>
        </w:rPr>
        <w:t>להלן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החבורה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ואלכסנדר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קוזלוב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רוסטמוב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גיאורגי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קרניאן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גיאורגי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ראשד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אשר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רוסטמוב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ראשד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lang w:val="en-US" w:eastAsia="en-US"/>
        </w:rPr>
        <w:t>1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ראשון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גיאורגי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לקנוב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ולחבריהם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בנוכחות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אדוארד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בעיות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ואדוארד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הצטיידה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ואדוארד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בקטנוע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ונושאים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color w:val="000000"/>
          <w:rtl w:val="true"/>
          <w:lang w:val="en-US" w:eastAsia="en-US"/>
        </w:rPr>
        <w:t>ירו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לעבר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וצ</w:t>
      </w:r>
      <w:r>
        <w:rPr>
          <w:color w:val="000000"/>
          <w:rtl w:val="true"/>
          <w:lang w:val="en-US" w:eastAsia="en-US"/>
        </w:rPr>
        <w:t>'</w:t>
      </w:r>
      <w:r>
        <w:rPr>
          <w:color w:val="000000"/>
          <w:rtl w:val="true"/>
          <w:lang w:val="en-US" w:eastAsia="en-US"/>
        </w:rPr>
        <w:t>רנין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לפחות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אחד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כדורים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תוך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פוגעים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המאזדה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החבורה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נמלטה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מהמקום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ובהמשך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נטשו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המאזדה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המנוקב</w:t>
      </w:r>
      <w:r>
        <w:rPr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בסמוך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לאמור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לעיל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קשר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וצ</w:t>
      </w:r>
      <w:r>
        <w:rPr>
          <w:color w:val="000000"/>
          <w:rtl w:val="true"/>
          <w:lang w:val="en-US" w:eastAsia="en-US"/>
        </w:rPr>
        <w:t>'</w:t>
      </w:r>
      <w:r>
        <w:rPr>
          <w:color w:val="000000"/>
          <w:rtl w:val="true"/>
          <w:lang w:val="en-US" w:eastAsia="en-US"/>
        </w:rPr>
        <w:t>רנין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לגרום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לאחרים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חבלה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חמורה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זאת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כנקמה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מעשיהם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כאמור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לעיל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בהמשך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פנה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לאדוארד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וביקש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להשתמש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ברכבו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הלה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הסכים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לבקשה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וסיפק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רכבו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-</w:t>
        <w:tab/>
      </w:r>
      <w:r>
        <w:rPr>
          <w:color w:val="000000"/>
          <w:rtl w:val="true"/>
          <w:lang w:val="en-US" w:eastAsia="en-US"/>
        </w:rPr>
        <w:t>בהמשך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לאמור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לעיל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הניחו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וצ</w:t>
      </w:r>
      <w:r>
        <w:rPr>
          <w:color w:val="000000"/>
          <w:rtl w:val="true"/>
          <w:lang w:val="en-US" w:eastAsia="en-US"/>
        </w:rPr>
        <w:t>'</w:t>
      </w:r>
      <w:r>
        <w:rPr>
          <w:color w:val="000000"/>
          <w:rtl w:val="true"/>
          <w:lang w:val="en-US" w:eastAsia="en-US"/>
        </w:rPr>
        <w:t>רנין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בנוכחות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אדוארד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האקדחים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ונסעו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בשכונת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הדר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בחיפה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בניסיון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האחרים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לגרום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חבלה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חמורה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תוך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שהם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כאמור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מחזיקים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ונושאים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האקדחים</w:t>
      </w:r>
      <w:r>
        <w:rPr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-</w:t>
        <w:tab/>
      </w:r>
      <w:r>
        <w:rPr>
          <w:color w:val="000000"/>
          <w:rtl w:val="true"/>
          <w:lang w:val="en-US" w:eastAsia="en-US"/>
        </w:rPr>
        <w:t>בהמשך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בשעה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01:00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לערך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הבחינו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סליבנוב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צ</w:t>
      </w:r>
      <w:r>
        <w:rPr>
          <w:color w:val="000000"/>
          <w:rtl w:val="true"/>
          <w:lang w:val="en-US" w:eastAsia="en-US"/>
        </w:rPr>
        <w:t>'</w:t>
      </w:r>
      <w:r>
        <w:rPr>
          <w:color w:val="000000"/>
          <w:rtl w:val="true"/>
          <w:lang w:val="en-US" w:eastAsia="en-US"/>
        </w:rPr>
        <w:t>רנין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ואדוארד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באחרים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ברחוב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ועצרו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הרכב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יצא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כשבידו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אקדח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טעון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רץ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לעבר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וגיאורגי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וירה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לעברם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מספר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פעמים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להימלט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החזקה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ונשיאת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) –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15"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</w:t>
      </w:r>
      <w:hyperlink r:id="rId16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hyperlink r:id="rId1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"); </w:t>
      </w:r>
      <w:r>
        <w:rPr>
          <w:b/>
          <w:b/>
          <w:bCs/>
          <w:rtl w:val="true"/>
          <w:lang w:val="en-US" w:eastAsia="en-US"/>
        </w:rPr>
        <w:t>קשירת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329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lang w:val="en-US" w:eastAsia="en-US"/>
        </w:rPr>
        <w:t>2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30.6.10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</w:t>
      </w:r>
      <w:r>
        <w:rPr>
          <w:rtl w:val="true"/>
          <w:lang w:val="en-US" w:eastAsia="en-US"/>
        </w:rPr>
        <w:t>,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והבחינו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מסוג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מיצובישי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שבאותה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בשימושו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ראשד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בשל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רצונם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לנקום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ובאחרים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קשר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להצית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רכב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לפיכך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נסעו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השלושה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לתחנת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דלק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מילא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בנזין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בג</w:t>
      </w:r>
      <w:r>
        <w:rPr>
          <w:color w:val="000000"/>
          <w:rtl w:val="true"/>
          <w:lang w:val="en-US" w:eastAsia="en-US"/>
        </w:rPr>
        <w:t>'</w:t>
      </w:r>
      <w:r>
        <w:rPr>
          <w:color w:val="000000"/>
          <w:rtl w:val="true"/>
          <w:lang w:val="en-US" w:eastAsia="en-US"/>
        </w:rPr>
        <w:t>ריקן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ושבו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לשכונת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הדר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בחיפה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  <w:lang w:val="en-US" w:eastAsia="en-US"/>
        </w:rPr>
      </w:pPr>
      <w:r>
        <w:rPr>
          <w:b/>
          <w:bCs/>
          <w:color w:val="000000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-</w:t>
        <w:tab/>
      </w:r>
      <w:r>
        <w:rPr>
          <w:color w:val="000000"/>
          <w:rtl w:val="true"/>
          <w:lang w:val="en-US" w:eastAsia="en-US"/>
        </w:rPr>
        <w:t>בבוקר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lang w:val="en-US" w:eastAsia="en-US"/>
        </w:rPr>
        <w:t>01.07.10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סמוך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03.00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ירדו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מרכבו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בעוד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ממתין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למלטם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הציתו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השניים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המיצובישי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שנשרף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כליל</w:t>
      </w:r>
      <w:r>
        <w:rPr>
          <w:color w:val="000000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קשירת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1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;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448</w:t>
        </w:r>
      </w:hyperlink>
      <w:r>
        <w:rPr>
          <w:rtl w:val="true"/>
          <w:lang w:val="en-US" w:eastAsia="en-US"/>
        </w:rPr>
        <w:t xml:space="preserve"> + </w:t>
      </w:r>
      <w:hyperlink r:id="rId23">
        <w:r>
          <w:rPr>
            <w:rStyle w:val="Hyperlink"/>
            <w:rFonts w:cs="David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lang w:val="en-US" w:eastAsia="en-US"/>
        </w:rPr>
        <w:t>3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שלישי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העסקאות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02.07.10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הצהריים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ונושאים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מונח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בהנחיית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קידום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התוכנית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19.00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הבחינו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שסימן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הללו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מהתקיפה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נחבלו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בתגובה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הצלחה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החזקה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ונשיאת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6">
        <w:r>
          <w:rPr>
            <w:rStyle w:val="Hyperlink"/>
            <w:rFonts w:cs="David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329</w:t>
        </w:r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Fonts w:cs="David"/>
            <w:rtl w:val="true"/>
            <w:lang w:val="en-US" w:eastAsia="en-US"/>
          </w:rPr>
          <w:t>)(</w:t>
        </w:r>
        <w:r>
          <w:rPr>
            <w:rStyle w:val="Hyperlink"/>
            <w:rFonts w:cs="David"/>
            <w:lang w:val="en-US" w:eastAsia="en-US"/>
          </w:rPr>
          <w:t>2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9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lang w:val="en-US" w:eastAsia="en-US"/>
        </w:rPr>
        <w:t>4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רביעי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המתוארות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תקיפתם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3.7.10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הצהריים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זברב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אילן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כנרקומן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יבדקו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העסקאות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מתצפתים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גיאורגי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הטמינו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למחרת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4.7.10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ושלושתם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בנוכחות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מאילן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הכדורים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בנוכחות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מפרחאד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שברשותם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-</w:t>
        <w:tab/>
      </w:r>
      <w:r>
        <w:rPr>
          <w:rtl w:val="true"/>
          <w:lang w:val="en-US" w:eastAsia="en-US"/>
        </w:rPr>
        <w:t>סליבנוב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סליבנוב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וקוזלוב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ונושאים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בפרחאד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val="en-US" w:eastAsia="en-US"/>
        </w:rPr>
      </w:pPr>
      <w:r>
        <w:rPr>
          <w:rtl w:val="true"/>
          <w:lang w:val="en-US" w:eastAsia="en-US"/>
        </w:rPr>
        <w:t>*</w:t>
        <w:tab/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23.00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וגיאורגי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למקום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המפגש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כאשר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מחזיקים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ונושאים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אקדח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במעמד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רכש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אילן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מפרחאד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וגיאורגי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סם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מסוכן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מסוג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קוקאין</w:t>
      </w:r>
      <w:r>
        <w:rPr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*</w:t>
        <w:tab/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לעברם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וגיאורגי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מימשו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תוכנית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הקשר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לאחר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שהבחינו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באקדח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שנשאו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עימם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האחרונים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ואף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הודיעו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לנאשם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ומסרו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הסיבה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לכך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*</w:t>
        <w:tab/>
      </w:r>
      <w:r>
        <w:rPr>
          <w:color w:val="000000"/>
          <w:rtl w:val="true"/>
          <w:lang w:val="en-US" w:eastAsia="en-US"/>
        </w:rPr>
        <w:t>מיד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לאחר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מכן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הגיעו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לבניין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כאשר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מחזיקים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ונושאים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בשני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האקדחים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ועמדו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כשהם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מתצפתים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הבניין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מטרים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ספורים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ממנו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לבדוק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מתגורר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בבנין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ובאיזו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דירה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*</w:t>
        <w:tab/>
      </w:r>
      <w:r>
        <w:rPr>
          <w:color w:val="000000"/>
          <w:rtl w:val="true"/>
          <w:lang w:val="en-US" w:eastAsia="en-US"/>
        </w:rPr>
        <w:t>לאחר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כמחצית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השעה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הבחינו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ובגיאורגי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כשהם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עומדים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בדירתו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הממוקמת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בקומה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השנייה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בבניין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השניים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התקשרו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ועדכנו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אותו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איתרו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מקום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מגוריו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גיאורגי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נמצא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הוא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במקום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בתגובה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לכך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הורה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לזרוק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רימון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לעבר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וגיאורגי</w:t>
      </w:r>
      <w:r>
        <w:rPr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-</w:t>
        <w:tab/>
      </w:r>
      <w:r>
        <w:rPr>
          <w:color w:val="000000"/>
          <w:rtl w:val="true"/>
          <w:lang w:val="en-US" w:eastAsia="en-US"/>
        </w:rPr>
        <w:t>בהמשך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להוראת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בסמוך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01.30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בוקר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lang w:val="en-US" w:eastAsia="en-US"/>
        </w:rPr>
        <w:t>05.07.10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השליך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הרימון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לכיוון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חלון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דירתו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פרחאד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שהיה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ממוקם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מטרים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ספורים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מקוזלוב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ופתוח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בחלקו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הרימון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פגע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במשקוף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העליון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חלון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הדירה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נפל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האדמה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והתפוצץ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כתוצאה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מהפיצוץ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נגרם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נזק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לדירה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הממוקמת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בקומת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הקרקע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בבניין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בה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שהו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אותה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שני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אנשים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קשירת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ולעוון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2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) –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4"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ג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35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6">
        <w:r>
          <w:rPr>
            <w:rStyle w:val="Hyperlink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הסמים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המסוכנים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נוסח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</w:t>
      </w:r>
      <w:r>
        <w:rPr>
          <w:rtl w:val="true"/>
          <w:lang w:val="en-US" w:eastAsia="en-US"/>
        </w:rPr>
        <w:t xml:space="preserve">],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1973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פקודת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המסוכנים</w:t>
      </w:r>
      <w:r>
        <w:rPr>
          <w:rtl w:val="true"/>
          <w:lang w:val="en-US" w:eastAsia="en-US"/>
        </w:rPr>
        <w:t xml:space="preserve">");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ונשיאת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) –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8"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9">
        <w:r>
          <w:rPr>
            <w:rStyle w:val="Hyperlink"/>
            <w:rFonts w:cs="David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329</w:t>
        </w:r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Fonts w:cs="David"/>
            <w:rtl w:val="true"/>
            <w:lang w:val="en-US" w:eastAsia="en-US"/>
          </w:rPr>
          <w:t>)(</w:t>
        </w:r>
        <w:r>
          <w:rPr>
            <w:rStyle w:val="Hyperlink"/>
            <w:rFonts w:cs="David"/>
            <w:lang w:val="en-US" w:eastAsia="en-US"/>
          </w:rPr>
          <w:t>2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41">
        <w:r>
          <w:rPr>
            <w:rStyle w:val="Hyperlink"/>
            <w:rFonts w:cs="David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lang w:val="en-US" w:eastAsia="en-US"/>
        </w:rPr>
        <w:t>5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חמישי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color w:val="000000"/>
          <w:rtl w:val="true"/>
          <w:lang w:val="en-US" w:eastAsia="en-US"/>
        </w:rPr>
        <w:t>-</w:t>
        <w:tab/>
      </w:r>
      <w:r>
        <w:rPr>
          <w:color w:val="000000"/>
          <w:rtl w:val="true"/>
          <w:lang w:val="en-US" w:eastAsia="en-US"/>
        </w:rPr>
        <w:t>בתאריך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27.7.10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בשעה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07:10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החזיק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יחד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בסם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מסוכן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מסוג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קוקאין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במשקל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3.9813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ג</w:t>
      </w:r>
      <w:r>
        <w:rPr>
          <w:color w:val="000000"/>
          <w:rtl w:val="true"/>
          <w:lang w:val="en-US" w:eastAsia="en-US"/>
        </w:rPr>
        <w:t xml:space="preserve">' </w:t>
      </w:r>
      <w:r>
        <w:rPr>
          <w:color w:val="000000"/>
          <w:rtl w:val="true"/>
          <w:lang w:val="en-US" w:eastAsia="en-US"/>
        </w:rPr>
        <w:t>נטו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ללא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בדין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לצריכתם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העצמית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בלבד</w:t>
      </w:r>
      <w:r>
        <w:rPr>
          <w:color w:val="000000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הסם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מוסלק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בחצר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הבית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התגורר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יחד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סליבנוב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ואחרים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ומחולק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u w:val="single"/>
          <w:lang w:val="en-US" w:eastAsia="en-US"/>
        </w:rPr>
        <w:t>15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אריזות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בגין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האמור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לעיל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הורשע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</w:t>
      </w:r>
      <w:r>
        <w:rPr>
          <w:b/>
          <w:b/>
          <w:bCs/>
          <w:color w:val="000000"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סם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לצריכה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עצמית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עבירה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לפי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color w:val="000000"/>
          <w:rtl w:val="true"/>
          <w:lang w:val="en-US" w:eastAsia="en-US"/>
        </w:rPr>
        <w:t xml:space="preserve"> + </w:t>
      </w:r>
      <w:hyperlink r:id="rId43"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ג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רישא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+ </w:t>
      </w:r>
      <w:hyperlink r:id="rId44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color w:val="000000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45">
        <w:r>
          <w:rPr>
            <w:rStyle w:val="Hyperlink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הסמים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המסוכנים</w:t>
        </w:r>
      </w:hyperlink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לעניין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ועוצמתם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חבורתו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התכנונים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המוקדמים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המושלמות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והתכנונים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מהעבירות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התעלמה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("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שפתחה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וחבריו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פרופורציונאליים</w:t>
      </w:r>
      <w:r>
        <w:rPr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המוטיבציה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היריבה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והעמידו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להרשעותיו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שבגינן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הפרקליטה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בהגעה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הסגירו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ששימשו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העבריינים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ניזוקי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טולסטולוצקי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שמרביתם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בצוותא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צ</w:t>
      </w:r>
      <w:r>
        <w:rPr>
          <w:u w:val="single"/>
          <w:rtl w:val="true"/>
          <w:lang w:val="en-US" w:eastAsia="en-US"/>
        </w:rPr>
        <w:t>'</w:t>
      </w:r>
      <w:r>
        <w:rPr>
          <w:u w:val="single"/>
          <w:rtl w:val="true"/>
          <w:lang w:val="en-US" w:eastAsia="en-US"/>
        </w:rPr>
        <w:t>רנין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חבורתו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שסיכנו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לתאומים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בעמדתו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ד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מעשיו של הנאשם זועקים בחומרתם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ברצף של מעשים שכל אחד חמור בפני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ובמשקלם המצטבר יוצרים מסה של מעשים נוראיים שהעמידו בסיכון ממשי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רק את חברי החבורה היריבה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גם עוברי אורח תמימים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יצר הנקם שפיעם אצל הנאשם הדחיק ממוחו כל שיקול אחר והוא היה מוכן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מן הסתם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לקחת סיכון של פגיעה באחרים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שכל חטאם הוא היקלעות לזירת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מגורים בסמוך למקום מגורי יריביו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וחבריו פעלו באופן נחרץ ושיטתי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גייסו נשק חם והשתמשו בו ללא היסוס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פעילותו של הנאשם עם חבריו נושאת אופי של התארגנות עבריינית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למרבה הצער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מעטים הם מקרים מעין אלו במקומותינו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והמעשים אף גבו קורבנות שמצאו מותם במלחמות לא להם ובמאבקים בין עבריינים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כגון דא נאמר ב</w:t>
      </w:r>
      <w:r>
        <w:rPr>
          <w:rFonts w:cs="Arial" w:ascii="Arial" w:hAnsi="Arial"/>
          <w:rtl w:val="true"/>
          <w:lang w:val="en-US" w:eastAsia="en-US"/>
        </w:rPr>
        <w:t>-</w:t>
      </w:r>
      <w:hyperlink r:id="rId46">
        <w:r>
          <w:rPr>
            <w:rStyle w:val="Hyperlink"/>
            <w:rFonts w:ascii="Arial" w:hAnsi="Arial"/>
            <w:rtl w:val="true"/>
            <w:lang w:val="en-US" w:eastAsia="en-US"/>
          </w:rPr>
          <w:t>ע</w:t>
        </w:r>
        <w:r>
          <w:rPr>
            <w:rStyle w:val="Hyperlink"/>
            <w:rFonts w:cs="David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Arial" w:hAnsi="Arial"/>
            <w:lang w:val="en-US" w:eastAsia="en-US"/>
          </w:rPr>
          <w:t>5753/04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רייכמן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7.2.05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שניתן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גרוניס ומ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נאור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405" w:end="36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לאחרונה נתקלים אנו במעשי בריונות שלא ידענו בעבר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שאם בעבר יישבו צעירים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וגם מי שאינם צעירים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חילוקי דיעות שביניהם בסכינים שנעצו בגופו של הזולת –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תת תרבות הסכין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קראנו לתופעה ממאירה זו – הנה כיום עלינו – או שמא נאמר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ירדנו – ברמה ובחומרה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עוד יישוב סיכסוכים בנשק קר אלא יישוב סיכסוכים בנשק חם</w:t>
      </w:r>
      <w:r>
        <w:rPr>
          <w:rFonts w:cs="Arial" w:ascii="Arial" w:hAnsi="Arial"/>
          <w:b/>
          <w:bCs/>
          <w:rtl w:val="true"/>
          <w:lang w:val="en-US" w:eastAsia="en-US"/>
        </w:rPr>
        <w:t>.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סיכסוכים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קראנו לאותם חילוקי דיעות שאנשים מבקשים ליישבם באלימות קשה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שלמרבה התמיהה והצער אין המדובר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ברוב המקרים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בסיכסוכים של ממש אלא בסיכסוכים שניתן לכנותם סיכסוכי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זוטא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סיכסוכי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זוטא אלה מעורבים בהם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הרוב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אנשים צעירים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ועל דברים של מה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בכך נשלפת סכין וננעצת בגוף הזולת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לאחרונה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כאמור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נשלף כלי ירייה קטלני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405" w:end="36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תופעה נוראה זו פשתה בחברתנו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היתה כמחלה ממארת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וחובה היא המוטלת עלינו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בית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להעלות תרומתו למלחמה קשה זו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מלחמה היא שאסור לעשות בה ויתורים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שאם נוותר ונסלח תתגבר התופעה ותלך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חברתנו הפכה להיותה חברה אלימה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ותרומתו של בית המשפט למלחמה באלימות היא בהטלת עונשים ראויים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בבואנו לגזור עונשים על עבריינים כמשיב שלפנינו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שומה עלינו לשוות נגד עינינו לא רק את המשיב וצורכי שיקומו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רק את משפחתו הסובלת בשל מעשיו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גם את הנפגעים ממעשיו של המשיב ואת הנפגעים ממעשים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בכוח שייעשו אם לא נגיב בחומרה על מעשים כמעשה המשיב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מעשים חמורים מעין אלו ראוי לגמול לנאשם בעונש ממשי וחמור ולמנוע ממנו חזרה לסורו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כליאתו לתקופה ארוכה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לנגד עינינו יעמוד גם העבר הפלילי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שאף ריצה פעמיים עונשי מאסר בפועל ולא למד את הלקח הנדרש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החזקת סם הקוקאין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לצריכה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היא מחייבת התייחסות מחמירה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נשקול לקולא את הודיית הנאשם במיוחס לו בכתב האישום המתוקן ואת העובדה שמעשיו האלימים בוצעו בעקבות ירי שכוון לעברו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נשקול לקולא את נסיבותיו האישיות ובפרט את היותו אב לשני תאומים עוללים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הן התביעה והן הסנגור ביקשו מאיתנו כי נקודת המוצא לענישה שתגזר על הנאשם תהיה העונש בן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המאסר שנגזר על הנאשמים–שותפיו לפשע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אלא שהתביעה ביקשה כי נקבע שמעשיו של הנאשם חמורים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ואילו הסנגור ביקש לשכנענו כי מעשיו של הנאשם קלים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עיון בגזר הדין בתיק המקביל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נשפטו שותפיו של הנאשם מראה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צודקת התביעה בטיעונה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שבפנינו הורשע ביותר עבירות מאלו שבגינן הורשעו חבריו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נטל חלק פעיל בביצוע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כמבצע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כמבצע בצוותא ובין כמי </w:t>
      </w:r>
      <w:r>
        <w:rPr>
          <w:rFonts w:ascii="Arial" w:hAnsi="Arial" w:cs="Arial"/>
          <w:u w:val="single"/>
          <w:rtl w:val="true"/>
          <w:lang w:val="en-US" w:eastAsia="en-US"/>
        </w:rPr>
        <w:t>שנתן ההוראה</w:t>
      </w:r>
      <w:r>
        <w:rPr>
          <w:rFonts w:ascii="Arial" w:hAnsi="Arial" w:cs="Arial"/>
          <w:rtl w:val="true"/>
          <w:lang w:val="en-US" w:eastAsia="en-US"/>
        </w:rPr>
        <w:t xml:space="preserve"> להשליך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בפרט האישום הרביעי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מתן </w:t>
      </w:r>
      <w:r>
        <w:rPr>
          <w:rFonts w:ascii="Arial" w:hAnsi="Arial" w:cs="Arial"/>
          <w:u w:val="single"/>
          <w:rtl w:val="true"/>
          <w:lang w:val="en-US" w:eastAsia="en-US"/>
        </w:rPr>
        <w:t>ההוראה</w:t>
      </w:r>
      <w:r>
        <w:rPr>
          <w:rFonts w:ascii="Arial" w:hAnsi="Arial" w:cs="Arial"/>
          <w:rtl w:val="true"/>
          <w:lang w:val="en-US" w:eastAsia="en-US"/>
        </w:rPr>
        <w:t xml:space="preserve"> מצביע על מעמדו בקרב חבורתו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שבפניי אף החזיק בסם מסוכן מסוג קוקאין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לצריכה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מחולק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אריזות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למותר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הנאשמים האחרים בתיק המקביל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בניגוד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הודו במיוחס להם עוד בחקירתם במשטרה ושיתפו עמה פעולה בחקירה הנדונה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 של נאשם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פחוּת מזה של קוזלוב וצ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רנין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בהתחשב בכל הנסיבות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אנו גוזרים על הנאשם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מתוכן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לריצוי בפועל והיתרה מותנית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לבל יעבור עבירת אלימות שהיא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 עבירות בנשק או עבירה על פי </w:t>
      </w:r>
      <w:hyperlink r:id="rId47">
        <w:r>
          <w:rPr>
            <w:rStyle w:val="Hyperlink"/>
            <w:rFonts w:ascii="Arial" w:hAnsi="Arial"/>
            <w:rtl w:val="true"/>
            <w:lang w:val="en-US" w:eastAsia="en-US"/>
          </w:rPr>
          <w:t>פקודת</w:t>
        </w:r>
        <w:r>
          <w:rPr>
            <w:rStyle w:val="Hyperlink"/>
            <w:rFonts w:ascii="Arial" w:hAnsi="Arial" w:eastAsia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/>
            <w:rtl w:val="true"/>
            <w:lang w:val="en-US" w:eastAsia="en-US"/>
          </w:rPr>
          <w:t>הסמים</w:t>
        </w:r>
        <w:r>
          <w:rPr>
            <w:rStyle w:val="Hyperlink"/>
            <w:rFonts w:ascii="Arial" w:hAnsi="Arial" w:eastAsia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/>
            <w:rtl w:val="true"/>
            <w:lang w:val="en-US" w:eastAsia="en-US"/>
          </w:rPr>
          <w:t>המסוכנים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למעט עבירה של החזקת סם לשימוש עצמי או שימוש בסם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 אנו מטילים על הנאשם לפצות את חיים טולסטולוצקי ואמו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בגין הפגיעה בדירתם בסך של </w:t>
      </w:r>
      <w:r>
        <w:rPr>
          <w:rFonts w:cs="Arial" w:ascii="Arial" w:hAnsi="Arial"/>
          <w:lang w:val="en-US" w:eastAsia="en-US"/>
        </w:rPr>
        <w:t>2,500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 xml:space="preserve">הפיצוי ישולם תוך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מהיום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מניין ימי מאסרו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יחל מיום מעצרו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27/7/10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זכות ערעור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מהיום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אייר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2011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41"/>
        <w:gridCol w:w="285"/>
        <w:gridCol w:w="2573"/>
        <w:gridCol w:w="279"/>
        <w:gridCol w:w="2244"/>
      </w:tblGrid>
      <w:tr>
        <w:trPr/>
        <w:tc>
          <w:tcPr>
            <w:tcW w:w="31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</w:tr>
      <w:tr>
        <w:trPr/>
        <w:tc>
          <w:tcPr>
            <w:tcW w:w="314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שיף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ס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]</w:t>
            </w:r>
          </w:p>
        </w:tc>
        <w:tc>
          <w:tcPr>
            <w:tcW w:w="28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73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ח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הורוביץ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שופטת</w:t>
            </w:r>
          </w:p>
        </w:tc>
        <w:tc>
          <w:tcPr>
            <w:tcW w:w="27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4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צ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קינן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הרכב ים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38855-08-10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פבל קריגר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933780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933780&lt;/CaseID&gt;&#10;        &lt;CaseMonth&gt;8&lt;/CaseMonth&gt;&#10;        &lt;CaseYear&gt;2010&lt;/CaseYear&gt;&#10;        &lt;CaseNumber&gt;38855&lt;/CaseNumber&gt;&#10;        &lt;NumeratorGroupID&gt;1&lt;/NumeratorGroupID&gt;&#10;        &lt;CaseName&gt;îãéðú éùøàì ð' ÷øéâø(òöéø)&lt;/CaseName&gt;&#10;        &lt;CourtID&gt;13&lt;/CourtID&gt;&#10;        &lt;CaseTypeID&gt;10077&lt;/CaseTypeID&gt;&#10;        &lt;CaseJudgeName&gt;àéìï ùéó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8855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1-05-16T13:02:31.0200000+03:00&lt;/CaseOpenDate&gt;&#10;        &lt;PleaTypeID&gt;8&lt;/PleaTypeID&gt;&#10;        &lt;CourtLevelID&gt;2&lt;/CourtLevelID&gt;&#10;        &lt;CaseJudgeFirstName&gt;àéìï&lt;/CaseJudgeFirstName&gt;&#10;        &lt;CaseJudgeLastName&gt;ùéó&lt;/CaseJudgeLastName&gt;&#10;        &lt;JudicalPersonID&gt;003263308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5-30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933780&lt;/CaseID&gt;&#10;        &lt;CaseMonth&gt;8&lt;/CaseMonth&gt;&#10;        &lt;CaseYear&gt;2010&lt;/CaseYear&gt;&#10;        &lt;CaseNumber&gt;38855&lt;/CaseNumber&gt;&#10;        &lt;NumeratorGroupID&gt;1&lt;/NumeratorGroupID&gt;&#10;        &lt;CaseName&gt;îãéðú éùøàì ð' ÷øéâø(òöéø)&lt;/CaseName&gt;&#10;        &lt;CourtID&gt;13&lt;/CourtID&gt;&#10;        &lt;CaseTypeID&gt;10077&lt;/CaseTypeID&gt;&#10;        &lt;CaseJudgeName&gt;àéìï ùéó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8855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1-05-16T13:02:31.0200000+03:00&lt;/CaseOpenDate&gt;&#10;        &lt;PleaTypeID&gt;8&lt;/PleaTypeID&gt;&#10;        &lt;CourtLevelID&gt;2&lt;/CourtLevelID&gt;&#10;        &lt;CaseJudgeFirstName&gt;àéìï&lt;/CaseJudgeFirstName&gt;&#10;        &lt;CaseJudgeLastName&gt;ùéó&lt;/CaseJudgeLastName&gt;&#10;        &lt;JudicalPersonID&gt;003263308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274200&lt;/DecisionID&gt;&#10;        &lt;DecisionName&gt;âæø ãéï  îúàøéê  30/05/11  ùðéúðä ò&quot;é  àéìï ùéó&lt;/DecisionName&gt;&#10;        &lt;DecisionStatusID&gt;1&lt;/DecisionStatusID&gt;&#10;        &lt;DecisionStatusChangeDate&gt;2011-05-30T09:36:57.4530000+03:00&lt;/DecisionStatusChangeDate&gt;&#10;        &lt;DecisionSignatureDate&gt;2011-05-30T09:36:59.1900000+03:00&lt;/DecisionSignatureDate&gt;&#10;        &lt;DecisionSignatureUserID&gt;003263308@GOV.IL&lt;/DecisionSignatureUserID&gt;&#10;        &lt;DecisionCreateDate&gt;2011-05-24T09:17:27.4100000+03:00&lt;/DecisionCreateDate&gt;&#10;        &lt;DecisionChangeDate&gt;2011-05-30T09:36:59.5130000+03:00&lt;/DecisionChangeDate&gt;&#10;        &lt;DecisionChangeUserID&gt;05614714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016033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3263308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6147143@GOV.IL&lt;/DecisionCreationUserID&gt;&#10;        &lt;DecisionDisplayName&gt;âæø ãéï  îúàøéê  30/05/11  ùðéúðä ò&quot;é  àéìï ùéó&lt;/DecisionDisplayName&gt;&#10;        &lt;IsScanned&gt;false&lt;/IsScanned&gt;&#10;        &lt;DecisionSignatureUserName&gt;àéìï ùéó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274200&lt;/DecisionID&gt;&#10;        &lt;CaseID&gt;68933780&lt;/CaseID&gt;&#10;        &lt;IsOriginal&gt;true&lt;/IsOriginal&gt;&#10;        &lt;IsDeleted&gt;false&lt;/IsDeleted&gt;&#10;        &lt;CaseName&gt;îãéðú éùøàì ð' ÷øéâø(òöéø)&lt;/CaseName&gt;&#10;        &lt;CaseDisplayIdentifier&gt;38855-08-10 úô&quot;ç&lt;/CaseDisplayIdentifier&gt;&#10;      &lt;/dt_DecisionCase&gt;&#10;      &lt;dt_DecisionJudgePanel diffgr:id=&quot;dt_DecisionJudgePanel1&quot; msdata:rowOrder=&quot;0&quot;&gt;&#10;        &lt;DecisionID&gt;76274200&lt;/DecisionID&gt;&#10;        &lt;JudgeID&gt;003263308@GOV.IL&lt;/JudgeID&gt;&#10;        &lt;OrdinalNumber&gt;1&lt;/OrdinalNumber&gt;&#10;      &lt;/dt_DecisionJudgePanel&gt;&#10;      &lt;dt_DecisionJudgePanel diffgr:id=&quot;dt_DecisionJudgePanel2&quot; msdata:rowOrder=&quot;1&quot;&gt;&#10;        &lt;DecisionID&gt;76274200&lt;/DecisionID&gt;&#10;        &lt;JudgeID&gt;043621374@GOV.IL&lt;/JudgeID&gt;&#10;        &lt;OrdinalNumber&gt;2&lt;/OrdinalNumber&gt;&#10;      &lt;/dt_DecisionJudgePanel&gt;&#10;      &lt;dt_DecisionJudgePanel diffgr:id=&quot;dt_DecisionJudgePanel3&quot; msdata:rowOrder=&quot;2&quot;&gt;&#10;        &lt;DecisionID&gt;76274200&lt;/DecisionID&gt;&#10;        &lt;JudgeID&gt;000622837@GOV.IL&lt;/JudgeID&gt;&#10;        &lt;OrdinalNumber&gt;3&lt;/OrdinalNumber&gt;&#10;      &lt;/dt_DecisionJudgePanel&gt;&#10;    &lt;/DecisionDS&gt;&#10;  &lt;/diffgr:diffgram&gt;&#10;&lt;/DecisionDS&gt;"/>
    <w:docVar w:name="DecisionID" w:val="76274200"/>
    <w:docVar w:name="docID" w:val="120160338"/>
    <w:docVar w:name="judgeUPN" w:val="003263308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03263308@GOV.IL"/>
    <w:docVar w:name="noteDocID" w:val="12016033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cs="Times New Roman"/>
      <w:b w:val="false"/>
      <w:strike w:val="false"/>
      <w:dstrike w:val="false"/>
      <w:u w:val="no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48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2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.c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48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499.a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4216/7.a" TargetMode="External"/><Relationship Id="rId34" Type="http://schemas.openxmlformats.org/officeDocument/2006/relationships/hyperlink" Target="http://www.nevo.co.il/law/4216/7.c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329.a.2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4216/7.a" TargetMode="External"/><Relationship Id="rId43" Type="http://schemas.openxmlformats.org/officeDocument/2006/relationships/hyperlink" Target="http://www.nevo.co.il/law/4216/.c" TargetMode="External"/><Relationship Id="rId44" Type="http://schemas.openxmlformats.org/officeDocument/2006/relationships/hyperlink" Target="http://www.nevo.co.il/law/70301/29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case/6030667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2016-05-10T14:47:00Z</dcterms:created>
  <dc:creator> </dc:creator>
  <dc:description/>
  <cp:keywords/>
  <dc:language>en-IL</dc:language>
  <cp:lastModifiedBy>yafit</cp:lastModifiedBy>
  <cp:lastPrinted>2011-05-25T16:29:00Z</cp:lastPrinted>
  <dcterms:modified xsi:type="dcterms:W3CDTF">2016-05-10T14:47:00Z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פבל קריגר</vt:lpwstr>
  </property>
  <property fmtid="{D5CDD505-2E9C-101B-9397-08002B2CF9AE}" pid="4" name="CASESLISTTMP1">
    <vt:lpwstr>6030667</vt:lpwstr>
  </property>
  <property fmtid="{D5CDD505-2E9C-101B-9397-08002B2CF9AE}" pid="5" name="CITY">
    <vt:lpwstr>חי'</vt:lpwstr>
  </property>
  <property fmtid="{D5CDD505-2E9C-101B-9397-08002B2CF9AE}" pid="6" name="DATE">
    <vt:lpwstr>20110530</vt:lpwstr>
  </property>
  <property fmtid="{D5CDD505-2E9C-101B-9397-08002B2CF9AE}" pid="7" name="ISABSTRACT">
    <vt:lpwstr>Y</vt:lpwstr>
  </property>
  <property fmtid="{D5CDD505-2E9C-101B-9397-08002B2CF9AE}" pid="8" name="JUDGE">
    <vt:lpwstr>הרכב ים;א. שיף;ס. [];ח. הורוביץ;צ. קינן</vt:lpwstr>
  </property>
  <property fmtid="{D5CDD505-2E9C-101B-9397-08002B2CF9AE}" pid="9" name="LAWLISTTMP1">
    <vt:lpwstr>70301/144.a:3;144.b:3;029:8;499.a.1:3;329.a.2:3;448;499.a.2</vt:lpwstr>
  </property>
  <property fmtid="{D5CDD505-2E9C-101B-9397-08002B2CF9AE}" pid="10" name="LAWLISTTMP2">
    <vt:lpwstr>4216/007.a:2;007.c;.c</vt:lpwstr>
  </property>
  <property fmtid="{D5CDD505-2E9C-101B-9397-08002B2CF9AE}" pid="11" name="LAWYER">
    <vt:lpwstr> ת"ז 313691867 עאדל בויראת; פמ"ח ראניה סרוג'י</vt:lpwstr>
  </property>
  <property fmtid="{D5CDD505-2E9C-101B-9397-08002B2CF9AE}" pid="12" name="NEWPARTA">
    <vt:lpwstr>38855</vt:lpwstr>
  </property>
  <property fmtid="{D5CDD505-2E9C-101B-9397-08002B2CF9AE}" pid="13" name="NEWPARTB">
    <vt:lpwstr>08</vt:lpwstr>
  </property>
  <property fmtid="{D5CDD505-2E9C-101B-9397-08002B2CF9AE}" pid="14" name="NEWPARTC">
    <vt:lpwstr>10</vt:lpwstr>
  </property>
  <property fmtid="{D5CDD505-2E9C-101B-9397-08002B2CF9AE}" pid="15" name="NEWPROC">
    <vt:lpwstr>תפח</vt:lpwstr>
  </property>
  <property fmtid="{D5CDD505-2E9C-101B-9397-08002B2CF9AE}" pid="16" name="PSAKDIN">
    <vt:lpwstr>גזר-דין</vt:lpwstr>
  </property>
  <property fmtid="{D5CDD505-2E9C-101B-9397-08002B2CF9AE}" pid="17" name="RemarkFileName">
    <vt:lpwstr>mechozi me 10 08 38855 665 htm</vt:lpwstr>
  </property>
  <property fmtid="{D5CDD505-2E9C-101B-9397-08002B2CF9AE}" pid="18" name="TYPE">
    <vt:lpwstr>2</vt:lpwstr>
  </property>
  <property fmtid="{D5CDD505-2E9C-101B-9397-08002B2CF9AE}" pid="19" name="TYPE_ABS_DATE">
    <vt:lpwstr>390020110530</vt:lpwstr>
  </property>
  <property fmtid="{D5CDD505-2E9C-101B-9397-08002B2CF9AE}" pid="20" name="TYPE_N_DATE">
    <vt:lpwstr>39020110530</vt:lpwstr>
  </property>
  <property fmtid="{D5CDD505-2E9C-101B-9397-08002B2CF9AE}" pid="21" name="WORDNUMPAGES">
    <vt:lpwstr>10</vt:lpwstr>
  </property>
</Properties>
</file>