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40489-05-11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ביאטרה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 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 שאהר אטרש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תאופיק </w:t>
            </w:r>
            <w:r>
              <w:rPr>
                <w:b/>
                <w:b/>
                <w:bCs/>
                <w:rtl w:val="true"/>
              </w:rPr>
              <w:t>בן סאלח ביאטרה 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סעיד </w:t>
            </w:r>
            <w:r>
              <w:rPr>
                <w:b/>
                <w:b/>
                <w:bCs/>
                <w:rtl w:val="true"/>
              </w:rPr>
              <w:t xml:space="preserve">בן </w:t>
            </w:r>
            <w:r>
              <w:rPr>
                <w:b/>
                <w:b/>
                <w:bCs/>
                <w:rtl w:val="true"/>
              </w:rPr>
              <w:t xml:space="preserve">עבד </w:t>
            </w:r>
            <w:r>
              <w:rPr>
                <w:b/>
                <w:b/>
                <w:bCs/>
                <w:rtl w:val="true"/>
              </w:rPr>
              <w:t>עבד</w:t>
            </w:r>
            <w:r>
              <w:rPr>
                <w:b/>
                <w:b/>
                <w:bCs/>
                <w:rtl w:val="true"/>
              </w:rPr>
              <w:t xml:space="preserve">אלעזיז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&lt;</w:t>
      </w:r>
      <w:r>
        <w:rPr/>
        <w:t>#2#</w:t>
      </w:r>
      <w:r>
        <w:rPr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 xml:space="preserve">: </w:t>
      </w:r>
      <w:bookmarkStart w:id="2" w:name="FirstLawyer"/>
      <w:r>
        <w:rPr>
          <w:u w:val="none"/>
          <w:rtl w:val="true"/>
        </w:rPr>
        <w:t>בשם</w:t>
      </w:r>
      <w:bookmarkEnd w:id="2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אורית קורין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ab/>
      </w:r>
      <w:r>
        <w:rPr>
          <w:u w:val="none"/>
          <w:rtl w:val="true"/>
        </w:rPr>
        <w:t>בשם הנאשמים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טאהא אוסאמה ממשרד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ראפי מסאלחה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ab/>
      </w:r>
      <w:r>
        <w:rPr>
          <w:u w:val="none"/>
          <w:rtl w:val="true"/>
        </w:rPr>
        <w:t xml:space="preserve">הנאשמים הובאו באמצעות הליווי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&lt;</w:t>
      </w:r>
      <w:r>
        <w:rPr/>
        <w:t>#3#</w:t>
      </w:r>
      <w:r>
        <w:rPr>
          <w:rtl w:val="true"/>
        </w:rPr>
        <w:t>&gt;</w:t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inks_Start"/>
      <w:bookmarkEnd w:id="3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חלק ראשון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4" w:name="LawTable"/>
      <w:bookmarkStart w:id="5" w:name="Links_End"/>
      <w:bookmarkStart w:id="6" w:name="LawTable"/>
      <w:bookmarkStart w:id="7" w:name="Links_End"/>
      <w:bookmarkEnd w:id="6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rtl w:val="true"/>
          </w:rPr>
          <w:t>חוק המרשם הפלילי ותקנת השבים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</w:rPr>
          <w:t>14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</w:rPr>
          <w:t>19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2">
        <w:r>
          <w:rPr>
            <w:rStyle w:val="Hyperlink"/>
            <w:rFonts w:ascii="FrankRuehl" w:hAnsi="FrankRuehl" w:cs="FrankRuehl"/>
            <w:color w:val="0000FF"/>
            <w:rtl w:val="true"/>
          </w:rPr>
          <w:t>חוק כלי היריה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1949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במסגרת הסדר טיעון תוקן כתב האישום ביום </w:t>
      </w:r>
      <w:r>
        <w:rPr/>
        <w:t>19.04.12</w:t>
      </w:r>
      <w:r>
        <w:rPr>
          <w:rtl w:val="true"/>
        </w:rPr>
        <w:t xml:space="preserve">, </w:t>
      </w:r>
      <w:r>
        <w:rPr>
          <w:rtl w:val="true"/>
        </w:rPr>
        <w:t xml:space="preserve">הנאשמים חזרו בהם מכפירתם והורשעו על סמך הודאתם בכתב האישום המתוקן </w:t>
      </w:r>
      <w:r>
        <w:rPr>
          <w:rtl w:val="true"/>
        </w:rPr>
        <w:t>(</w:t>
      </w:r>
      <w:r>
        <w:rPr>
          <w:b/>
          <w:b/>
          <w:bCs/>
          <w:rtl w:val="true"/>
        </w:rPr>
        <w:t>מש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 </w:t>
      </w:r>
      <w:r>
        <w:rPr>
          <w:rtl w:val="true"/>
        </w:rPr>
        <w:t>בעבירות המיוחסות להם כדלקמן</w:t>
      </w:r>
      <w:r>
        <w:rPr>
          <w:rtl w:val="true"/>
        </w:rPr>
        <w:t xml:space="preserve">: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 בעבירות שלהלן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824" w:leader="none"/>
        </w:tabs>
        <w:spacing w:lineRule="auto" w:line="360"/>
        <w:ind w:hanging="240" w:start="704" w:end="0"/>
        <w:jc w:val="start"/>
        <w:rPr/>
      </w:pPr>
      <w:bookmarkStart w:id="13" w:name="ABSTRACT_START"/>
      <w:bookmarkEnd w:id="13"/>
      <w:r>
        <w:rPr>
          <w:rtl w:val="true"/>
        </w:rPr>
        <w:t>תקיפה הגורמת חבלה של ממש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 xml:space="preserve">"). </w:t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824" w:leader="none"/>
        </w:tabs>
        <w:spacing w:lineRule="auto" w:line="360"/>
        <w:ind w:hanging="240" w:start="704" w:end="0"/>
        <w:jc w:val="start"/>
        <w:rPr/>
      </w:pP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824" w:leader="none"/>
        </w:tabs>
        <w:spacing w:lineRule="auto" w:line="360"/>
        <w:ind w:hanging="240" w:start="704" w:end="0"/>
        <w:jc w:val="start"/>
        <w:rPr/>
      </w:pPr>
      <w:r>
        <w:rPr>
          <w:rtl w:val="true"/>
        </w:rPr>
        <w:t>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824" w:leader="none"/>
        </w:tabs>
        <w:spacing w:lineRule="auto" w:line="360"/>
        <w:ind w:hanging="240" w:start="704" w:end="0"/>
        <w:jc w:val="start"/>
        <w:rPr/>
      </w:pPr>
      <w:r>
        <w:rPr>
          <w:rtl w:val="true"/>
        </w:rPr>
        <w:t>עבירות בנשק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hyperlink r:id="rId3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2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824" w:leader="none"/>
          <w:tab w:val="left" w:pos="1346" w:leader="none"/>
        </w:tabs>
        <w:spacing w:lineRule="auto" w:line="360"/>
        <w:ind w:hanging="240" w:start="704" w:end="0"/>
        <w:jc w:val="start"/>
        <w:rPr/>
      </w:pPr>
      <w:r>
        <w:rPr>
          <w:rtl w:val="true"/>
        </w:rPr>
        <w:t>ירי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3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+ </w:t>
      </w:r>
      <w:hyperlink r:id="rId35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 בעבירות 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    </w:t>
      </w:r>
      <w:r>
        <w:rPr>
          <w:rtl w:val="true"/>
        </w:rPr>
        <w:t>סיוע לחבלה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hyperlink r:id="rId37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8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     </w:t>
      </w:r>
      <w:r>
        <w:rPr>
          <w:rtl w:val="true"/>
        </w:rPr>
        <w:t>עבירות בנשק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hyperlink r:id="rId4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4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42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       </w:t>
      </w:r>
      <w:r>
        <w:rPr>
          <w:rtl w:val="true"/>
        </w:rPr>
        <w:t>ירי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hyperlink r:id="rId44"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tl w:val="true"/>
        </w:rPr>
        <w:t>+</w:t>
      </w:r>
      <w:hyperlink r:id="rId45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 xml:space="preserve">לגבי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 xml:space="preserve">כי המאשימה תעתור לעונש ראוי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ולגבי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לעונש ראוי של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בעוד שההגנה תטען באופן חופשי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 xml:space="preserve"> 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 התמונה העולה מעובדות כתב האישום</w:t>
      </w:r>
      <w:r>
        <w:rPr>
          <w:rtl w:val="true"/>
        </w:rPr>
        <w:t xml:space="preserve"> במהלך התקופה שקדמה לאירועים נשוא כתב האישום</w:t>
      </w:r>
      <w:r>
        <w:rPr>
          <w:rtl w:val="true"/>
        </w:rPr>
        <w:t xml:space="preserve">, </w:t>
      </w:r>
      <w:r>
        <w:rPr>
          <w:rtl w:val="true"/>
        </w:rPr>
        <w:t>שרר בעיר נצרת סכסוך בין משפחות עבדאלעזיז וביאטרה מצד אחד</w:t>
      </w:r>
      <w:r>
        <w:rPr>
          <w:rtl w:val="true"/>
        </w:rPr>
        <w:t xml:space="preserve">, </w:t>
      </w:r>
      <w:r>
        <w:rPr>
          <w:rtl w:val="true"/>
        </w:rPr>
        <w:t>לבין משפחת יוסף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03.03.11</w:t>
      </w:r>
      <w:r>
        <w:rPr>
          <w:rtl w:val="true"/>
        </w:rPr>
        <w:t xml:space="preserve"> </w:t>
      </w:r>
      <w:r>
        <w:rPr>
          <w:rtl w:val="true"/>
        </w:rPr>
        <w:t xml:space="preserve">הוגשה תלונה למשטרת נצרת בגין תקיפת אמו של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עבלה עבדלעזיז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באותו ערב הוגשה תלונה על</w:t>
      </w:r>
      <w:r>
        <w:rPr>
          <w:rtl w:val="true"/>
        </w:rPr>
        <w:t>-</w:t>
      </w:r>
      <w:r>
        <w:rPr>
          <w:rtl w:val="true"/>
        </w:rPr>
        <w:t>ידי משפחת יוסף בגין זריקת אבנים מצד משפחת עבדאלעזיז לעבר בתיהם ורכושם של משפחת יוסף ערב קודם לכן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הינו דודו של נאשם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 xml:space="preserve">פי הנטען </w:t>
      </w:r>
      <w:r>
        <w:rPr>
          <w:u w:val="single"/>
          <w:rtl w:val="true"/>
        </w:rPr>
        <w:t>באישום הראשון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המיוחס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), </w:t>
      </w:r>
      <w:r>
        <w:rPr>
          <w:rtl w:val="true"/>
        </w:rPr>
        <w:t xml:space="preserve">ביום </w:t>
      </w:r>
      <w:r>
        <w:rPr/>
        <w:t>04.05.11</w:t>
      </w:r>
      <w:r>
        <w:rPr>
          <w:rtl w:val="true"/>
        </w:rPr>
        <w:t xml:space="preserve"> </w:t>
      </w:r>
      <w:r>
        <w:rPr>
          <w:rtl w:val="true"/>
        </w:rPr>
        <w:t>בשעות הצהריים</w:t>
      </w:r>
      <w:r>
        <w:rPr>
          <w:rtl w:val="true"/>
        </w:rPr>
        <w:t xml:space="preserve">, </w:t>
      </w:r>
      <w:r>
        <w:rPr>
          <w:rtl w:val="true"/>
        </w:rPr>
        <w:t>בשכונה המזרחית בנצרת</w:t>
      </w:r>
      <w:r>
        <w:rPr>
          <w:rtl w:val="true"/>
        </w:rPr>
        <w:t xml:space="preserve">, </w:t>
      </w:r>
      <w:r>
        <w:rPr>
          <w:rtl w:val="true"/>
        </w:rPr>
        <w:t xml:space="preserve">תקף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את חליל יוסף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"), </w:t>
      </w:r>
      <w:r>
        <w:rPr>
          <w:rtl w:val="true"/>
        </w:rPr>
        <w:t>בכך שהכה את המתלונן באמצעות ידיו</w:t>
      </w:r>
      <w:r>
        <w:rPr>
          <w:rtl w:val="true"/>
        </w:rPr>
        <w:t xml:space="preserve">, </w:t>
      </w:r>
      <w:r>
        <w:rPr>
          <w:rtl w:val="true"/>
        </w:rPr>
        <w:t>בפניו ובצווארו של המתלונן ואף איים</w:t>
      </w:r>
      <w:r>
        <w:rPr>
          <w:rtl w:val="true"/>
        </w:rPr>
        <w:t xml:space="preserve">, </w:t>
      </w:r>
      <w:r>
        <w:rPr>
          <w:rtl w:val="true"/>
        </w:rPr>
        <w:t>כי יפגע בו באמצעות מברג</w:t>
      </w:r>
      <w:r>
        <w:rPr>
          <w:rtl w:val="true"/>
        </w:rPr>
        <w:t xml:space="preserve">, </w:t>
      </w:r>
      <w:r>
        <w:rPr>
          <w:rtl w:val="true"/>
        </w:rPr>
        <w:t>שהחזיק בידו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איים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 המתלונן באומרו</w:t>
      </w:r>
      <w:r>
        <w:rPr>
          <w:rtl w:val="true"/>
        </w:rPr>
        <w:t>: "</w:t>
      </w:r>
      <w:r>
        <w:rPr>
          <w:rtl w:val="true"/>
        </w:rPr>
        <w:t>אני אוריד אותך</w:t>
      </w:r>
      <w:r>
        <w:rPr>
          <w:rtl w:val="true"/>
        </w:rPr>
        <w:t xml:space="preserve">, </w:t>
      </w:r>
      <w:r>
        <w:rPr>
          <w:rtl w:val="true"/>
        </w:rPr>
        <w:t>ואתה תראה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 xml:space="preserve">כתוצאה ממעשיו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נגרמו למתלונן חבלות בצוואר</w:t>
      </w:r>
      <w:r>
        <w:rPr>
          <w:rtl w:val="true"/>
        </w:rPr>
        <w:t xml:space="preserve">, </w:t>
      </w:r>
      <w:r>
        <w:rPr>
          <w:rtl w:val="true"/>
        </w:rPr>
        <w:t>במצח ומעל עין שמאל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במעשיו המתוארים לעיל</w:t>
      </w:r>
      <w:r>
        <w:rPr>
          <w:rtl w:val="true"/>
        </w:rPr>
        <w:t xml:space="preserve">, </w:t>
      </w:r>
      <w:r>
        <w:rPr>
          <w:rtl w:val="true"/>
        </w:rPr>
        <w:t xml:space="preserve">תקף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המתלונן וגרם לו חבלה של ממש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איים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 המתלונן בפגיעה שלא כדין בגופו</w:t>
      </w:r>
      <w:r>
        <w:rPr>
          <w:rtl w:val="true"/>
        </w:rPr>
        <w:t xml:space="preserve">, </w:t>
      </w:r>
      <w:r>
        <w:rPr>
          <w:rtl w:val="true"/>
        </w:rPr>
        <w:t>בכוונה להפחידו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על</w:t>
      </w:r>
      <w:r>
        <w:rPr>
          <w:rtl w:val="true"/>
        </w:rPr>
        <w:t xml:space="preserve">- </w:t>
      </w:r>
      <w:r>
        <w:rPr>
          <w:rtl w:val="true"/>
        </w:rPr>
        <w:t xml:space="preserve">פי הנטען </w:t>
      </w:r>
      <w:r>
        <w:rPr>
          <w:u w:val="single"/>
          <w:rtl w:val="true"/>
        </w:rPr>
        <w:t>באישום השני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המיוחס לשני הנאשמים</w:t>
      </w:r>
      <w:r>
        <w:rPr>
          <w:rtl w:val="true"/>
        </w:rPr>
        <w:t xml:space="preserve">), </w:t>
      </w:r>
      <w:r>
        <w:rPr>
          <w:rtl w:val="true"/>
        </w:rPr>
        <w:t xml:space="preserve">ביום </w:t>
      </w:r>
      <w:r>
        <w:rPr/>
        <w:t>06.05.11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13:00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נסעו הנאשמים ואחר בנצרת ברכב מסוג 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 מ</w:t>
      </w:r>
      <w:r>
        <w:rPr>
          <w:rtl w:val="true"/>
        </w:rPr>
        <w:t>.</w:t>
      </w:r>
      <w:r>
        <w:rPr>
          <w:rtl w:val="true"/>
        </w:rPr>
        <w:t xml:space="preserve">ר </w:t>
      </w:r>
      <w:r>
        <w:rPr/>
        <w:t>80-473-08</w:t>
      </w:r>
      <w:r>
        <w:rPr>
          <w:rtl w:val="true"/>
        </w:rPr>
        <w:t xml:space="preserve">, </w:t>
      </w:r>
      <w:r>
        <w:rPr>
          <w:rtl w:val="true"/>
        </w:rPr>
        <w:t>בבעלותו של מוחמד עבדאלעזיז</w:t>
      </w:r>
      <w:r>
        <w:rPr>
          <w:rtl w:val="true"/>
        </w:rPr>
        <w:t xml:space="preserve">, </w:t>
      </w:r>
      <w:r>
        <w:rPr>
          <w:rtl w:val="true"/>
        </w:rPr>
        <w:t xml:space="preserve">אחיו של נאשם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רכב הנאשמים</w:t>
      </w:r>
      <w:r>
        <w:rPr>
          <w:rtl w:val="true"/>
        </w:rPr>
        <w:t xml:space="preserve">").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 ברכב הנאשמים</w:t>
      </w:r>
      <w:r>
        <w:rPr>
          <w:rtl w:val="true"/>
        </w:rPr>
        <w:t xml:space="preserve">, </w:t>
      </w:r>
      <w:r>
        <w:rPr>
          <w:rtl w:val="true"/>
        </w:rPr>
        <w:t>לידו ישב האחר</w:t>
      </w:r>
      <w:r>
        <w:rPr>
          <w:rtl w:val="true"/>
        </w:rPr>
        <w:t xml:space="preserve">, </w:t>
      </w:r>
      <w:r>
        <w:rPr>
          <w:rtl w:val="true"/>
        </w:rPr>
        <w:t xml:space="preserve">ובמושב האחורי ימני ישב 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האחר ונאשם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עטו כפפות</w:t>
      </w:r>
      <w:r>
        <w:rPr>
          <w:rtl w:val="true"/>
        </w:rPr>
        <w:t xml:space="preserve">, </w:t>
      </w:r>
      <w:r>
        <w:rPr>
          <w:rtl w:val="true"/>
        </w:rPr>
        <w:t>והחזיקו כל אחד אקדח בידו</w:t>
      </w:r>
      <w:r>
        <w:rPr>
          <w:rtl w:val="true"/>
        </w:rPr>
        <w:t xml:space="preserve">, </w:t>
      </w:r>
      <w:r>
        <w:rPr>
          <w:rtl w:val="true"/>
        </w:rPr>
        <w:t xml:space="preserve">זאת בידיעתו של נאשם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אותה עת</w:t>
      </w:r>
      <w:r>
        <w:rPr>
          <w:rtl w:val="true"/>
        </w:rPr>
        <w:t xml:space="preserve">, </w:t>
      </w:r>
      <w:r>
        <w:rPr>
          <w:rtl w:val="true"/>
        </w:rPr>
        <w:t>נסע המתלונן בנצרת כשהוא נוהג ברכב מסוג 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 xml:space="preserve">ר </w:t>
      </w:r>
      <w:r>
        <w:rPr/>
        <w:t>50-268-16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רכב המתלונן</w:t>
      </w:r>
      <w:r>
        <w:rPr>
          <w:rtl w:val="true"/>
        </w:rPr>
        <w:t xml:space="preserve">"); </w:t>
      </w:r>
      <w:r>
        <w:rPr>
          <w:rtl w:val="true"/>
        </w:rPr>
        <w:t>בעת שנסע המתלונן בשכונת חלת</w:t>
      </w:r>
      <w:r>
        <w:rPr>
          <w:rtl w:val="true"/>
        </w:rPr>
        <w:t>-</w:t>
      </w:r>
      <w:r>
        <w:rPr>
          <w:rtl w:val="true"/>
        </w:rPr>
        <w:t>אלדיר</w:t>
      </w:r>
      <w:r>
        <w:rPr>
          <w:rtl w:val="true"/>
        </w:rPr>
        <w:t xml:space="preserve">, </w:t>
      </w:r>
      <w:r>
        <w:rPr>
          <w:rtl w:val="true"/>
        </w:rPr>
        <w:t>בקרבת מוסך סאלח שהואן</w:t>
      </w:r>
      <w:r>
        <w:rPr>
          <w:rtl w:val="true"/>
        </w:rPr>
        <w:t xml:space="preserve">, </w:t>
      </w:r>
      <w:r>
        <w:rPr>
          <w:rtl w:val="true"/>
        </w:rPr>
        <w:t>הבחינו בו הנאשמים והאחר</w:t>
      </w:r>
      <w:r>
        <w:rPr>
          <w:rtl w:val="true"/>
        </w:rPr>
        <w:t xml:space="preserve">;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האיץ את מהירות רכב הנאשמים</w:t>
      </w:r>
      <w:r>
        <w:rPr>
          <w:rtl w:val="true"/>
        </w:rPr>
        <w:t xml:space="preserve">, </w:t>
      </w:r>
      <w:r>
        <w:rPr>
          <w:rtl w:val="true"/>
        </w:rPr>
        <w:t>ועקף את רכבו של המתלונן</w:t>
      </w:r>
      <w:r>
        <w:rPr>
          <w:rtl w:val="true"/>
        </w:rPr>
        <w:t xml:space="preserve">; </w:t>
      </w:r>
      <w:r>
        <w:rPr>
          <w:rtl w:val="true"/>
        </w:rPr>
        <w:t>כאשר רכב הנאשמים נסע במקביל לרכב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כיוונו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 את האקדחים לעבר המתלונן וירו 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יריות לעברו</w:t>
      </w:r>
      <w:r>
        <w:rPr>
          <w:rtl w:val="true"/>
        </w:rPr>
        <w:t xml:space="preserve">, </w:t>
      </w:r>
      <w:r>
        <w:rPr>
          <w:rtl w:val="true"/>
        </w:rPr>
        <w:t>זאת בכוונה להטיל בו נכות או מום</w:t>
      </w:r>
      <w:r>
        <w:rPr>
          <w:rtl w:val="true"/>
        </w:rPr>
        <w:t xml:space="preserve">, </w:t>
      </w:r>
      <w:r>
        <w:rPr>
          <w:rtl w:val="true"/>
        </w:rPr>
        <w:t>או לגרום לו חבלה חמורה</w:t>
      </w:r>
      <w:r>
        <w:rPr>
          <w:rtl w:val="true"/>
        </w:rPr>
        <w:t xml:space="preserve">. </w:t>
      </w:r>
      <w:r>
        <w:rPr>
          <w:rtl w:val="true"/>
        </w:rPr>
        <w:t>בתום הירי</w:t>
      </w:r>
      <w:r>
        <w:rPr>
          <w:rtl w:val="true"/>
        </w:rPr>
        <w:t xml:space="preserve">, </w:t>
      </w:r>
      <w:r>
        <w:rPr>
          <w:rtl w:val="true"/>
        </w:rPr>
        <w:t>נמלטו הנאשמים והאחר מן המקום ברכב הנאשמים</w:t>
      </w:r>
      <w:r>
        <w:rPr>
          <w:rtl w:val="true"/>
        </w:rPr>
        <w:t xml:space="preserve">, </w:t>
      </w:r>
      <w:r>
        <w:rPr>
          <w:rtl w:val="true"/>
        </w:rPr>
        <w:t>בנסיעה מהירה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אחת היריות פגעה בבית השחי מצד שמאל של המתלונן</w:t>
      </w:r>
      <w:r>
        <w:rPr>
          <w:rtl w:val="true"/>
        </w:rPr>
        <w:t xml:space="preserve">, </w:t>
      </w:r>
      <w:r>
        <w:rPr>
          <w:rtl w:val="true"/>
        </w:rPr>
        <w:t>הקליע חדר לתוך בית החזה</w:t>
      </w:r>
      <w:r>
        <w:rPr>
          <w:rtl w:val="true"/>
        </w:rPr>
        <w:t xml:space="preserve">, </w:t>
      </w:r>
      <w:r>
        <w:rPr>
          <w:rtl w:val="true"/>
        </w:rPr>
        <w:t>גרם להמטומה ריאתית עם רסיסים בתוך הריאה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נגרמו למתלונן שברים בצלעות</w:t>
      </w:r>
      <w:r>
        <w:rPr>
          <w:rtl w:val="true"/>
        </w:rPr>
        <w:t xml:space="preserve">, </w:t>
      </w:r>
      <w:r>
        <w:rPr>
          <w:rtl w:val="true"/>
        </w:rPr>
        <w:t xml:space="preserve">ושבר בחלקים האחוריים של חולייה  </w:t>
      </w:r>
      <w:r>
        <w:rPr/>
        <w:t>9</w:t>
      </w:r>
      <w:r>
        <w:rPr/>
        <w:t>D</w:t>
      </w:r>
      <w:r>
        <w:rPr>
          <w:rtl w:val="true"/>
        </w:rPr>
        <w:t xml:space="preserve"> </w:t>
      </w:r>
      <w:r>
        <w:rPr>
          <w:rtl w:val="true"/>
        </w:rPr>
        <w:t>עם רסיסי עצם שחדרו לתעלה</w:t>
      </w:r>
      <w:r>
        <w:rPr>
          <w:rtl w:val="true"/>
        </w:rPr>
        <w:t xml:space="preserve">. </w:t>
      </w:r>
      <w:r>
        <w:rPr>
          <w:rtl w:val="true"/>
        </w:rPr>
        <w:t>כתוצאה מכך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המתלונן נותר משותק בגפיו התחתונות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מגובה הטבור ומטה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במעשיהם המתוארים לעיל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 גרמו למתלונן חבלה חמורה שלא כדין</w:t>
      </w:r>
      <w:r>
        <w:rPr>
          <w:rtl w:val="true"/>
        </w:rPr>
        <w:t xml:space="preserve">, </w:t>
      </w:r>
      <w:r>
        <w:rPr>
          <w:rtl w:val="true"/>
        </w:rPr>
        <w:t>זאת בכוונה להטיל בו נכות או מום</w:t>
      </w:r>
      <w:r>
        <w:rPr>
          <w:rtl w:val="true"/>
        </w:rPr>
        <w:t xml:space="preserve">, </w:t>
      </w:r>
      <w:r>
        <w:rPr>
          <w:rtl w:val="true"/>
        </w:rPr>
        <w:t>החזיקו ונשאו נשק ללא רשות כדין</w:t>
      </w:r>
      <w:r>
        <w:rPr>
          <w:rtl w:val="true"/>
        </w:rPr>
        <w:t xml:space="preserve">, </w:t>
      </w:r>
      <w:r>
        <w:rPr>
          <w:rtl w:val="true"/>
        </w:rPr>
        <w:t>ירו מנשק חם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הכל בסיועו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 אפשר את ביצוע העבירות</w:t>
      </w:r>
      <w:r>
        <w:rPr>
          <w:rtl w:val="true"/>
        </w:rPr>
        <w:t xml:space="preserve">, </w:t>
      </w:r>
      <w:r>
        <w:rPr>
          <w:rtl w:val="true"/>
        </w:rPr>
        <w:t>ומנע את תפיסת המבצעים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תסקיר נפגע  עבירה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57" w:start="357" w:end="0"/>
        <w:jc w:val="start"/>
        <w:rPr/>
      </w:pPr>
      <w:r>
        <w:rPr>
          <w:rtl w:val="true"/>
        </w:rPr>
        <w:t>המפקחת המחוזית לנפגעי עבירה עמדה על מצבו הפיזי והנפשי של המתלונן עקב האירוע נשוא כתב האישום ועל ההשלכות של פגיעתו על משפחתו</w:t>
      </w:r>
      <w:r>
        <w:rPr>
          <w:rtl w:val="true"/>
        </w:rPr>
        <w:t xml:space="preserve">. </w:t>
      </w:r>
      <w:r>
        <w:rPr>
          <w:rtl w:val="true"/>
        </w:rPr>
        <w:t>מאז הפגיעה</w:t>
      </w:r>
      <w:r>
        <w:rPr>
          <w:rtl w:val="true"/>
        </w:rPr>
        <w:t xml:space="preserve">, </w:t>
      </w:r>
      <w:r>
        <w:rPr>
          <w:rtl w:val="true"/>
        </w:rPr>
        <w:t>המתלונן שרוי במתח</w:t>
      </w:r>
      <w:r>
        <w:rPr>
          <w:rtl w:val="true"/>
        </w:rPr>
        <w:t xml:space="preserve">,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חרדה</w:t>
      </w:r>
      <w:r>
        <w:rPr>
          <w:rtl w:val="true"/>
        </w:rPr>
        <w:t xml:space="preserve">, </w:t>
      </w:r>
      <w:r>
        <w:rPr>
          <w:rtl w:val="true"/>
        </w:rPr>
        <w:t>מרבה להסתגר ולהתבודד בחדרו</w:t>
      </w:r>
      <w:r>
        <w:rPr>
          <w:rtl w:val="true"/>
        </w:rPr>
        <w:t xml:space="preserve">. </w:t>
      </w:r>
      <w:r>
        <w:rPr>
          <w:rtl w:val="true"/>
        </w:rPr>
        <w:t>המתלונן נמנע מהבעת תחושותיו הקשות בפני משפחתו על מנת שלא להכביד עליהם ולצער אותם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57" w:start="357" w:end="0"/>
        <w:jc w:val="start"/>
        <w:rPr/>
      </w:pPr>
      <w:r>
        <w:rPr>
          <w:rtl w:val="true"/>
        </w:rPr>
        <w:t xml:space="preserve">המתלונן כבן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מרותק לכסא גלגלים מאז האירוע עסקינן שהתרחש לפני כשנה</w:t>
      </w:r>
      <w:r>
        <w:rPr>
          <w:rtl w:val="true"/>
        </w:rPr>
        <w:t xml:space="preserve">. </w:t>
      </w:r>
      <w:r>
        <w:rPr>
          <w:rtl w:val="true"/>
        </w:rPr>
        <w:t>למתלונן שלושה אחים והוא הבכור מביניהם</w:t>
      </w:r>
      <w:r>
        <w:rPr>
          <w:rtl w:val="true"/>
        </w:rPr>
        <w:t xml:space="preserve">; </w:t>
      </w:r>
      <w:r>
        <w:rPr>
          <w:rtl w:val="true"/>
        </w:rPr>
        <w:t xml:space="preserve">אביו בן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עובד כשכיר ואמו עקרת בית</w:t>
      </w:r>
      <w:r>
        <w:rPr>
          <w:rtl w:val="true"/>
        </w:rPr>
        <w:t xml:space="preserve">. </w:t>
      </w:r>
      <w:r>
        <w:rPr>
          <w:rtl w:val="true"/>
        </w:rPr>
        <w:t xml:space="preserve">המתלונן 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במגמת מכונאות רכב ולאחר מכן למד שנתיים נוספות במכללה על מנת לקבל תעודת טכנאי מכאניקה הנדסית</w:t>
      </w:r>
      <w:r>
        <w:rPr>
          <w:rtl w:val="true"/>
        </w:rPr>
        <w:t xml:space="preserve">. </w:t>
      </w:r>
      <w:r>
        <w:rPr>
          <w:rtl w:val="true"/>
        </w:rPr>
        <w:t>הישגיו בלימודים היו טובים</w:t>
      </w:r>
      <w:r>
        <w:rPr>
          <w:rtl w:val="true"/>
        </w:rPr>
        <w:t xml:space="preserve">; </w:t>
      </w:r>
      <w:r>
        <w:rPr>
          <w:rtl w:val="true"/>
        </w:rPr>
        <w:t>תוכניותיו וחלומותיו לעתיד קרסו תוך רגעים ספורים לאחר שנותר פגוע ונכה לצמיתות</w:t>
      </w:r>
      <w:r>
        <w:rPr>
          <w:rtl w:val="true"/>
        </w:rPr>
        <w:t xml:space="preserve">. </w:t>
      </w:r>
      <w:r>
        <w:rPr>
          <w:rtl w:val="true"/>
        </w:rPr>
        <w:t xml:space="preserve">גילו הצעיר של המתלונן בעת הפגיעה </w:t>
      </w:r>
      <w:r>
        <w:rPr>
          <w:rtl w:val="true"/>
        </w:rPr>
        <w:t>(</w:t>
      </w:r>
      <w:r>
        <w:rPr/>
        <w:t>19</w:t>
      </w:r>
      <w:r>
        <w:rPr>
          <w:rtl w:val="true"/>
        </w:rPr>
        <w:t xml:space="preserve">) </w:t>
      </w:r>
      <w:r>
        <w:rPr>
          <w:rtl w:val="true"/>
        </w:rPr>
        <w:t>מעצים באופן ניכר ומשמעותי את נזקי הפגיעה בתחומי חייו השונים נוכח האובדן הרב איתו נאלץ להתמודד בהווה ובעתיד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57" w:start="357" w:end="0"/>
        <w:jc w:val="start"/>
        <w:rPr/>
      </w:pPr>
      <w:r>
        <w:rPr>
          <w:rtl w:val="true"/>
        </w:rPr>
        <w:t>משפחתו של המתלונן חווה מאז פגיעתו מצוקה רגשית גבוהה</w:t>
      </w:r>
      <w:r>
        <w:rPr>
          <w:rtl w:val="true"/>
        </w:rPr>
        <w:t xml:space="preserve">, </w:t>
      </w:r>
      <w:r>
        <w:rPr>
          <w:rtl w:val="true"/>
        </w:rPr>
        <w:t>פחד ודאגה שמא הם עלולים לשוב ולהיפגע באזור מגוריהם נוכח המתח והעוינות השוררים במקום בין המשפחות השונות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נאלצת המשפחה להתמודד עם חובות כספיים</w:t>
      </w:r>
      <w:r>
        <w:rPr>
          <w:rtl w:val="true"/>
        </w:rPr>
        <w:t xml:space="preserve">, </w:t>
      </w:r>
      <w:r>
        <w:rPr>
          <w:rtl w:val="true"/>
        </w:rPr>
        <w:t>שהצטברו נוכח היעדרות אביו של המתלונן לפרקי זמן ממושכים ממקום עבודתו לצורך הטיפול במתלונן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57" w:start="357" w:end="0"/>
        <w:jc w:val="start"/>
        <w:rPr/>
      </w:pPr>
      <w:r>
        <w:rPr>
          <w:rtl w:val="true"/>
        </w:rPr>
        <w:t xml:space="preserve">בני משפחתו של המתלונן דחו הצעה </w:t>
      </w:r>
      <w:r>
        <w:rPr>
          <w:rtl w:val="true"/>
        </w:rPr>
        <w:t>"</w:t>
      </w:r>
      <w:r>
        <w:rPr>
          <w:rtl w:val="true"/>
        </w:rPr>
        <w:t>לסולחה</w:t>
      </w:r>
      <w:r>
        <w:rPr>
          <w:rtl w:val="true"/>
        </w:rPr>
        <w:t xml:space="preserve">", </w:t>
      </w:r>
      <w:r>
        <w:rPr>
          <w:rtl w:val="true"/>
        </w:rPr>
        <w:t>משום שהסדר מסוג זה על</w:t>
      </w:r>
      <w:r>
        <w:rPr>
          <w:rtl w:val="true"/>
        </w:rPr>
        <w:t>-</w:t>
      </w:r>
      <w:r>
        <w:rPr>
          <w:rtl w:val="true"/>
        </w:rPr>
        <w:t>פי תפיסתם אינו מונע הישנות מקרים דומים ואין בו הכרה וחרטה אמיתית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57" w:start="357" w:end="0"/>
        <w:jc w:val="start"/>
        <w:rPr/>
      </w:pPr>
      <w:r>
        <w:rPr>
          <w:rtl w:val="true"/>
        </w:rPr>
        <w:t>נוכח הנזק הבלתי הפיך שנגרם למתלונן לשארית ימי חייו</w:t>
      </w:r>
      <w:r>
        <w:rPr>
          <w:rtl w:val="true"/>
        </w:rPr>
        <w:t xml:space="preserve">, </w:t>
      </w:r>
      <w:r>
        <w:rPr>
          <w:rtl w:val="true"/>
        </w:rPr>
        <w:t>פרוגנוזת השיקום הפיזית והמנטאלית הינה נמוכה</w:t>
      </w:r>
      <w:r>
        <w:rPr>
          <w:rtl w:val="true"/>
        </w:rPr>
        <w:t xml:space="preserve">. </w:t>
      </w:r>
      <w:r>
        <w:rPr>
          <w:rtl w:val="true"/>
        </w:rPr>
        <w:t>המפקחת המחוזית סבורה</w:t>
      </w:r>
      <w:r>
        <w:rPr>
          <w:rtl w:val="true"/>
        </w:rPr>
        <w:t xml:space="preserve">, </w:t>
      </w:r>
      <w:r>
        <w:rPr>
          <w:rtl w:val="true"/>
        </w:rPr>
        <w:t>כי המתלונן יזדקק לשיקום תעסוקתי וטיפול פסיכולוגי לצורך התמודדות עם התופעות הפוסט</w:t>
      </w:r>
      <w:r>
        <w:rPr>
          <w:rtl w:val="true"/>
        </w:rPr>
        <w:t>-</w:t>
      </w:r>
      <w:r>
        <w:rPr>
          <w:rtl w:val="true"/>
        </w:rPr>
        <w:t>טראומטיות הרחבות שמאפיינות את מצבו הרגשי והתפקודי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המאשימה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הגישה ראיות לעניין העונש</w:t>
      </w:r>
      <w:r>
        <w:rPr>
          <w:rtl w:val="true"/>
        </w:rPr>
        <w:t xml:space="preserve">: </w:t>
      </w:r>
      <w:r>
        <w:rPr>
          <w:rtl w:val="true"/>
        </w:rPr>
        <w:t xml:space="preserve">גיליון רישומם הפלילי של נאשם </w:t>
      </w:r>
      <w:r>
        <w:rPr/>
        <w:t>1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מא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), </w:t>
      </w:r>
      <w:r>
        <w:rPr>
          <w:rtl w:val="true"/>
        </w:rPr>
        <w:t xml:space="preserve">ושל נאשם </w:t>
      </w:r>
      <w:r>
        <w:rPr/>
        <w:t>2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מא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), </w:t>
      </w:r>
      <w:r>
        <w:rPr>
          <w:rtl w:val="true"/>
        </w:rPr>
        <w:t>ועמדה על חומרת של העבירות אשר ביצעו הנאשמים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הפנתה למוצגי התביעה וביניהם דיסק</w:t>
      </w:r>
      <w:r>
        <w:rPr>
          <w:rtl w:val="true"/>
        </w:rPr>
        <w:t xml:space="preserve">, </w:t>
      </w:r>
      <w:r>
        <w:rPr>
          <w:rtl w:val="true"/>
        </w:rPr>
        <w:t xml:space="preserve">שמתאר את זמן ביצוע העבירות </w:t>
      </w:r>
      <w:r>
        <w:rPr>
          <w:rtl w:val="true"/>
        </w:rPr>
        <w:t>(</w:t>
      </w:r>
      <w:r>
        <w:rPr>
          <w:rtl w:val="true"/>
        </w:rPr>
        <w:t xml:space="preserve">מסמך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 xml:space="preserve">ותצלום אווירי של מקום האירוע </w:t>
      </w:r>
      <w:r>
        <w:rPr>
          <w:rtl w:val="true"/>
        </w:rPr>
        <w:t>(</w:t>
      </w:r>
      <w:r>
        <w:rPr>
          <w:rtl w:val="true"/>
        </w:rPr>
        <w:t xml:space="preserve">מסמך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 </w:t>
      </w:r>
      <w:r>
        <w:rPr>
          <w:rtl w:val="true"/>
        </w:rPr>
        <w:t>מהם עולה</w:t>
      </w:r>
      <w:r>
        <w:rPr>
          <w:rtl w:val="true"/>
        </w:rPr>
        <w:t xml:space="preserve">, </w:t>
      </w:r>
      <w:r>
        <w:rPr>
          <w:rtl w:val="true"/>
        </w:rPr>
        <w:t>כי זירת האירוע הייתה הומה באנשים שעה שנורה המתלונן</w:t>
      </w:r>
      <w:r>
        <w:rPr>
          <w:rtl w:val="true"/>
        </w:rPr>
        <w:t xml:space="preserve">, </w:t>
      </w:r>
      <w:r>
        <w:rPr>
          <w:rtl w:val="true"/>
        </w:rPr>
        <w:t>ועסקים רבים בקרבת מקום היו פתוחים</w:t>
      </w:r>
      <w:r>
        <w:rPr>
          <w:rtl w:val="true"/>
        </w:rPr>
        <w:t xml:space="preserve">. </w:t>
      </w: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רק בנס לא נפגע אף אדם מהירי זולת 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start"/>
        <w:rPr/>
      </w:pPr>
      <w:r>
        <w:rPr>
          <w:rtl w:val="true"/>
        </w:rPr>
        <w:t>הצטיידות הנאשמים בנשק והמעקב אשר ביצעו אחרי המתלונן מלמדים</w:t>
      </w:r>
      <w:r>
        <w:rPr>
          <w:rtl w:val="true"/>
        </w:rPr>
        <w:t xml:space="preserve">, </w:t>
      </w:r>
      <w:r>
        <w:rPr>
          <w:rtl w:val="true"/>
        </w:rPr>
        <w:t>כי מדובר באירוע שהינו פרי תכנון מוקדם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start"/>
        <w:rPr/>
      </w:pPr>
      <w:r>
        <w:rPr>
          <w:rtl w:val="true"/>
        </w:rPr>
        <w:t>הנאשמים נמנעו מלהזעיק עזרה עת נורה המתלונן</w:t>
      </w:r>
      <w:r>
        <w:rPr>
          <w:rtl w:val="true"/>
        </w:rPr>
        <w:t xml:space="preserve">, </w:t>
      </w:r>
      <w:r>
        <w:rPr>
          <w:rtl w:val="true"/>
        </w:rPr>
        <w:t>נמלטו מהמקום והותירו את המתלונן להתבוסס בדמו</w:t>
      </w:r>
      <w:r>
        <w:rPr>
          <w:rtl w:val="true"/>
        </w:rPr>
        <w:t xml:space="preserve">; </w:t>
      </w:r>
      <w:r>
        <w:rPr>
          <w:rtl w:val="true"/>
        </w:rPr>
        <w:t>אלמלא חבריו של המתלונן אשר היו בקרבת מקום ופינו אותו לבית חולים ייתכן והאירוע היה מסתיים בתוצאה קשה יותר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הפנתה לתעודות הרפואיות שהוגשו בהסכמה </w:t>
      </w:r>
      <w:r>
        <w:rPr>
          <w:rtl w:val="true"/>
        </w:rPr>
        <w:t>(</w:t>
      </w:r>
      <w:r>
        <w:rPr>
          <w:rtl w:val="true"/>
        </w:rPr>
        <w:t xml:space="preserve">מסמכים </w:t>
      </w:r>
      <w:r>
        <w:rPr/>
        <w:t>26-34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), </w:t>
      </w:r>
      <w:r>
        <w:rPr>
          <w:rtl w:val="true"/>
        </w:rPr>
        <w:t xml:space="preserve">לתצלום של חלק מהפגיעות שתועדו על גופו של המתלונן עת שהה בבית החולים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9</w:t>
      </w:r>
      <w:r>
        <w:rPr>
          <w:rtl w:val="true"/>
        </w:rPr>
        <w:t xml:space="preserve">) </w:t>
      </w:r>
      <w:r>
        <w:rPr>
          <w:rtl w:val="true"/>
        </w:rPr>
        <w:t>ולתסקיר נפגע העבירה מהם עולה</w:t>
      </w:r>
      <w:r>
        <w:rPr>
          <w:rtl w:val="true"/>
        </w:rPr>
        <w:t xml:space="preserve">, </w:t>
      </w:r>
      <w:r>
        <w:rPr>
          <w:rtl w:val="true"/>
        </w:rPr>
        <w:t>כי המתלונן נפגע באורח קשה מאוד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מבקשת לגזור על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מחצית מכל עונש שיוטל על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כפי מצוות המחוקק</w:t>
      </w:r>
      <w:r>
        <w:rPr>
          <w:rtl w:val="true"/>
        </w:rPr>
        <w:t xml:space="preserve">, </w:t>
      </w:r>
      <w:r>
        <w:rPr>
          <w:rtl w:val="true"/>
        </w:rPr>
        <w:t xml:space="preserve">מאחר וזה סייע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בביצוע העבירות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הסיע את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לזירת האירוע</w:t>
      </w:r>
      <w:r>
        <w:rPr>
          <w:rtl w:val="true"/>
        </w:rPr>
        <w:t xml:space="preserve">, </w:t>
      </w:r>
      <w:r>
        <w:rPr>
          <w:rtl w:val="true"/>
        </w:rPr>
        <w:t xml:space="preserve">ידע שנאשם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הצטייד בנשק</w:t>
      </w:r>
      <w:r>
        <w:rPr>
          <w:rtl w:val="true"/>
        </w:rPr>
        <w:t xml:space="preserve">, </w:t>
      </w:r>
      <w:r>
        <w:rPr>
          <w:rtl w:val="true"/>
        </w:rPr>
        <w:t xml:space="preserve">ידע את שעתיד להתרחש ולבסוף מילט את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מזירת האירוע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start"/>
        <w:rPr/>
      </w:pPr>
      <w:r>
        <w:rPr>
          <w:rtl w:val="true"/>
        </w:rPr>
        <w:t xml:space="preserve">משהורשע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בעבירות בנשק יש להחמיר עמו את הדין זאת חרף העובדה</w:t>
      </w:r>
      <w:r>
        <w:rPr>
          <w:rtl w:val="true"/>
        </w:rPr>
        <w:t xml:space="preserve">, </w:t>
      </w:r>
      <w:r>
        <w:rPr>
          <w:rtl w:val="true"/>
        </w:rPr>
        <w:t xml:space="preserve">כי נשק זה הוחזק בידי 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הפסיקה ראתה בהחזקה קונסטרוקטיבית של נשק כהחזקת נשק לכל דבר ועניין</w:t>
      </w:r>
      <w:r>
        <w:rPr>
          <w:rtl w:val="true"/>
        </w:rPr>
        <w:t xml:space="preserve">; </w:t>
      </w:r>
      <w:r>
        <w:rPr>
          <w:rtl w:val="true"/>
        </w:rPr>
        <w:t>נוכח פסיקתו המחמירה של בית המשפט העליון בעבירות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יש להטיל על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ענישה שתהלום את רף הענישה המקובל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start"/>
        <w:rPr/>
      </w:pPr>
      <w:r>
        <w:rPr>
          <w:rtl w:val="true"/>
        </w:rPr>
        <w:t>הסדר הטיעון גובש לקראת סיום ההליך ועקב כך לא נחסכה עדותו של המתלונן</w:t>
      </w:r>
      <w:r>
        <w:rPr>
          <w:rtl w:val="true"/>
        </w:rPr>
        <w:t xml:space="preserve">, </w:t>
      </w:r>
      <w:r>
        <w:rPr>
          <w:rtl w:val="true"/>
        </w:rPr>
        <w:t>אשר נאלץ להגיע לבית המשפט בכיסא גלגלים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start"/>
        <w:rPr/>
      </w:pPr>
      <w:r>
        <w:rPr>
          <w:rtl w:val="true"/>
        </w:rPr>
        <w:t>הנשק שבאמצעותו בוצעה העבירה טרם נתפס או הוסגר למשטרה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מבקשת לגזור על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שבע שנות מאסר</w:t>
      </w:r>
      <w:r>
        <w:rPr>
          <w:rtl w:val="true"/>
        </w:rPr>
        <w:t xml:space="preserve">, </w:t>
      </w:r>
      <w:r>
        <w:rPr>
          <w:rtl w:val="true"/>
        </w:rPr>
        <w:t>מאסר על תנאי ממושך ומרתיע ופיצוי הולם למתלונן</w:t>
      </w:r>
      <w:r>
        <w:rPr>
          <w:rtl w:val="true"/>
        </w:rPr>
        <w:t xml:space="preserve">, </w:t>
      </w:r>
      <w:r>
        <w:rPr>
          <w:rtl w:val="true"/>
        </w:rPr>
        <w:t xml:space="preserve">ועל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מאסר בפועל של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 על תנאי ארוך ומרתיע ופיצוי 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טיעוני הנאשמים 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start"/>
        <w:rPr/>
      </w:pPr>
      <w:r>
        <w:rPr>
          <w:rtl w:val="true"/>
        </w:rPr>
        <w:t>במהלך ניהול התיק התגלה קושי ראייתי ממשי בעטיו הופנו הצדדים לגישור</w:t>
      </w:r>
      <w:r>
        <w:rPr>
          <w:rtl w:val="true"/>
        </w:rPr>
        <w:t xml:space="preserve">, </w:t>
      </w:r>
      <w:r>
        <w:rPr>
          <w:rtl w:val="true"/>
        </w:rPr>
        <w:t>במהלכו הגיעו להסדר טיעון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start"/>
        <w:rPr/>
      </w:pPr>
      <w:r>
        <w:rPr>
          <w:rtl w:val="true"/>
        </w:rPr>
        <w:t>מעובדות כתב האישום עולה</w:t>
      </w:r>
      <w:r>
        <w:rPr>
          <w:rtl w:val="true"/>
        </w:rPr>
        <w:t xml:space="preserve">, </w:t>
      </w:r>
      <w:r>
        <w:rPr>
          <w:rtl w:val="true"/>
        </w:rPr>
        <w:t>כי שניים ירו לעברו של המתלונן אולם רק כדור אחד פגע בו</w:t>
      </w:r>
      <w:r>
        <w:rPr>
          <w:rtl w:val="true"/>
        </w:rPr>
        <w:t xml:space="preserve">; </w:t>
      </w:r>
      <w:r>
        <w:rPr>
          <w:rtl w:val="true"/>
        </w:rPr>
        <w:t>נוכח העובדה</w:t>
      </w:r>
      <w:r>
        <w:rPr>
          <w:rtl w:val="true"/>
        </w:rPr>
        <w:t xml:space="preserve">, </w:t>
      </w:r>
      <w:r>
        <w:rPr>
          <w:rtl w:val="true"/>
        </w:rPr>
        <w:t xml:space="preserve">כי רק כדור אחד פגע במתלונן ולא ניתן לדעת האם המתלונן נפגע מכדור שנורה על ידי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או על ידי האחר</w:t>
      </w:r>
      <w:r>
        <w:rPr>
          <w:rtl w:val="true"/>
        </w:rPr>
        <w:t xml:space="preserve">, </w:t>
      </w:r>
      <w:r>
        <w:rPr>
          <w:rtl w:val="true"/>
        </w:rPr>
        <w:t xml:space="preserve">זכאי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ליהנות מספק זה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start"/>
        <w:rPr/>
      </w:pPr>
      <w:r>
        <w:rPr>
          <w:rtl w:val="true"/>
        </w:rPr>
        <w:t xml:space="preserve">הרשעתו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בביצוע העבירות נבעה אך ורק מכוח דיני השותפות ועל בית המשפט ליתן משקל לכך בעת גזירת 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start"/>
        <w:rPr/>
      </w:pPr>
      <w:r>
        <w:rPr>
          <w:rtl w:val="true"/>
        </w:rPr>
        <w:t xml:space="preserve">המתלונן פגע קשות בעבר בבן משפחתו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ולא נענש בגין פגיעה זו</w:t>
      </w:r>
      <w:r>
        <w:rPr>
          <w:rtl w:val="true"/>
        </w:rPr>
        <w:t xml:space="preserve">; </w:t>
      </w:r>
      <w:r>
        <w:rPr>
          <w:rtl w:val="true"/>
        </w:rPr>
        <w:t>ביחס לכך</w:t>
      </w:r>
      <w:r>
        <w:rPr>
          <w:rtl w:val="true"/>
        </w:rPr>
        <w:t xml:space="preserve">, </w:t>
      </w:r>
      <w:r>
        <w:rPr>
          <w:rtl w:val="true"/>
        </w:rPr>
        <w:t>טענה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כי אותו אדם סירב להגיש תלונה נגד המתלונן</w:t>
      </w:r>
      <w:r>
        <w:rPr>
          <w:rtl w:val="true"/>
        </w:rPr>
        <w:t xml:space="preserve">, </w:t>
      </w:r>
      <w:r>
        <w:rPr>
          <w:rtl w:val="true"/>
        </w:rPr>
        <w:t>המתלונן לא נחקר במשטרה ולא הוגש נגדו כתב 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start"/>
        <w:rPr/>
      </w:pP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הינו בחזקת אדם הנעדר עבר פלילי מכוח </w:t>
      </w:r>
      <w:hyperlink r:id="rId4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rtl w:val="true"/>
          </w:rPr>
          <w:t>חוק המרשם הפלילי ותקנת השבים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-</w:t>
      </w:r>
      <w:r>
        <w:rPr/>
        <w:t>1981</w:t>
      </w:r>
      <w:r>
        <w:rPr>
          <w:rtl w:val="true"/>
        </w:rPr>
        <w:t xml:space="preserve">;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זנח למשך תקופה ארוכה את דרכו הפסולה ועל כן יש </w:t>
      </w:r>
      <w:r>
        <w:rPr>
          <w:rtl w:val="true"/>
        </w:rPr>
        <w:t>"</w:t>
      </w:r>
      <w:r>
        <w:rPr>
          <w:rtl w:val="true"/>
        </w:rPr>
        <w:t>לזנוח</w:t>
      </w:r>
      <w:r>
        <w:rPr>
          <w:rtl w:val="true"/>
        </w:rPr>
        <w:t xml:space="preserve">" </w:t>
      </w:r>
      <w:r>
        <w:rPr>
          <w:rtl w:val="true"/>
        </w:rPr>
        <w:t>את עברו הפלילי</w:t>
      </w:r>
      <w:r>
        <w:rPr>
          <w:rtl w:val="true"/>
        </w:rPr>
        <w:t xml:space="preserve">, </w:t>
      </w:r>
      <w:r>
        <w:rPr>
          <w:rtl w:val="true"/>
        </w:rPr>
        <w:t>כפי מצוות המחוקק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start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הנאשמים עמד על נסיבותיו האישיות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שהינו נשוי ואב לשישה ילדים הסמוכים על שולחנו</w:t>
      </w:r>
      <w:r>
        <w:rPr>
          <w:rtl w:val="true"/>
        </w:rPr>
        <w:t xml:space="preserve">;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 מכור תקופה ארוכה לסמים וניתן להגדירו כאדם חולה הנזקק לעזרה</w:t>
      </w:r>
      <w:r>
        <w:rPr>
          <w:rtl w:val="true"/>
        </w:rPr>
        <w:t xml:space="preserve">. </w:t>
      </w:r>
      <w:r>
        <w:rPr>
          <w:rtl w:val="true"/>
        </w:rPr>
        <w:t>ביחס לכך טענה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כי בהודעתו טען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 אינו משתמש 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start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 xml:space="preserve">עברו הפלילי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אינו מכביד</w:t>
      </w:r>
      <w:r>
        <w:rPr>
          <w:rtl w:val="true"/>
        </w:rPr>
        <w:t xml:space="preserve">; </w:t>
      </w:r>
      <w:r>
        <w:rPr>
          <w:rtl w:val="true"/>
        </w:rPr>
        <w:t>מדובר בנאשם צעיר</w:t>
      </w:r>
      <w:r>
        <w:rPr>
          <w:rtl w:val="true"/>
        </w:rPr>
        <w:t xml:space="preserve">, </w:t>
      </w:r>
      <w:r>
        <w:rPr>
          <w:rtl w:val="true"/>
        </w:rPr>
        <w:t>מאורס אשר עתיד להינשא ולבנות את ביתו עם תום הפרשה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start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 xml:space="preserve">חלקו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בביצוע העבירה הוא קל מאוד ומסתכם בנהיגה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אחז באקדח</w:t>
      </w:r>
      <w:r>
        <w:rPr>
          <w:rtl w:val="true"/>
        </w:rPr>
        <w:t xml:space="preserve">, </w:t>
      </w:r>
      <w:r>
        <w:rPr>
          <w:rtl w:val="true"/>
        </w:rPr>
        <w:t>לא היה אחראי לירי ולא שלט בהתרחשות</w:t>
      </w:r>
      <w:r>
        <w:rPr>
          <w:rtl w:val="true"/>
        </w:rPr>
        <w:t xml:space="preserve">. </w:t>
      </w:r>
      <w:r>
        <w:rPr>
          <w:rtl w:val="true"/>
        </w:rPr>
        <w:t>לא ניתן לטעון</w:t>
      </w:r>
      <w:r>
        <w:rPr>
          <w:rtl w:val="true"/>
        </w:rPr>
        <w:t xml:space="preserve">, </w:t>
      </w:r>
      <w:r>
        <w:rPr>
          <w:rtl w:val="true"/>
        </w:rPr>
        <w:t xml:space="preserve">כי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 יכול למנוע את גרימת התוצאה האסורה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סייע ואפשר את ביצוע העבירה באמצעות נהיגתו אבל לא היה המבצע העיקרי של 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start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תסקיר נפגע העבירה אינו נסמך על תיעוד רפואי קביל</w:t>
      </w:r>
      <w:r>
        <w:rPr>
          <w:rtl w:val="true"/>
        </w:rPr>
        <w:t xml:space="preserve">. </w:t>
      </w:r>
      <w:r>
        <w:rPr>
          <w:rtl w:val="true"/>
        </w:rPr>
        <w:t>על מנת להוכיח את מצבו הרפואי של המתלונן היה על המאשימה להגיש חוות דעת רפואית</w:t>
      </w:r>
      <w:r>
        <w:rPr>
          <w:rtl w:val="true"/>
        </w:rPr>
        <w:t xml:space="preserve">; </w:t>
      </w:r>
      <w:r>
        <w:rPr>
          <w:rtl w:val="true"/>
        </w:rPr>
        <w:t>משלא הוגשה חוות דעת רפואית קבילה וערוכה כדין</w:t>
      </w:r>
      <w:r>
        <w:rPr>
          <w:rtl w:val="true"/>
        </w:rPr>
        <w:t xml:space="preserve">, </w:t>
      </w:r>
      <w:r>
        <w:rPr>
          <w:rtl w:val="true"/>
        </w:rPr>
        <w:t>אין ללמוד מתסקיר נפגע העבירה אודות הנזק הפיזי והנפשי שנגרמו למתלונן</w:t>
      </w:r>
      <w:r>
        <w:rPr>
          <w:rtl w:val="true"/>
        </w:rPr>
        <w:t xml:space="preserve">; </w:t>
      </w:r>
      <w:r>
        <w:rPr>
          <w:rtl w:val="true"/>
        </w:rPr>
        <w:t>בעניין זה טענה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כי החומר הרפואי שהוגש בהסכמה לבית המשפט הועבר גם למפקחת המחוזית לנפגעי עבירה אשר הסתמכה עליו בתסקירה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start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הנאשמים מבקש לגזור על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 שלא יעלה על מחצית התקופה לה טוענת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44" w:end="0"/>
        <w:jc w:val="start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באי כוח הצדדים הציגו פסיקה רלבנטית לתמיכה בטיעוניהם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344" w:start="344" w:end="0"/>
        <w:jc w:val="start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לסיום שמעתי את דברי הנאשמים</w:t>
      </w:r>
      <w:r>
        <w:rPr>
          <w:rtl w:val="true"/>
        </w:rPr>
        <w:t xml:space="preserve">;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כי המתלונן ירה בבן דודו</w:t>
      </w:r>
      <w:r>
        <w:rPr>
          <w:rtl w:val="true"/>
        </w:rPr>
        <w:t xml:space="preserve">, </w:t>
      </w:r>
      <w:r>
        <w:rPr>
          <w:rtl w:val="true"/>
        </w:rPr>
        <w:t>ירה עליו ותקף אותו</w:t>
      </w:r>
      <w:r>
        <w:rPr>
          <w:rtl w:val="true"/>
        </w:rPr>
        <w:t xml:space="preserve">; </w:t>
      </w:r>
      <w:r>
        <w:rPr>
          <w:rtl w:val="true"/>
        </w:rPr>
        <w:t>הוא אב לשישה ילדים</w:t>
      </w:r>
      <w:r>
        <w:rPr>
          <w:rtl w:val="true"/>
        </w:rPr>
        <w:t xml:space="preserve">, </w:t>
      </w:r>
      <w:r>
        <w:rPr>
          <w:rtl w:val="true"/>
        </w:rPr>
        <w:t>אשר מתמודד עם התמכרותו לסמים ומקבל טיפול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כי הוא רוצה להתחתן ולבנות את 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שיקולי ענישה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360" w:start="360" w:end="0"/>
        <w:jc w:val="start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המקרה שלפני הוא חמור ומצער</w:t>
      </w:r>
      <w:r>
        <w:rPr>
          <w:rtl w:val="true"/>
        </w:rPr>
        <w:t xml:space="preserve">;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חטא בביצוע עבירות חמורות של אלימות ונשק</w:t>
      </w:r>
      <w:r>
        <w:rPr>
          <w:rtl w:val="true"/>
        </w:rPr>
        <w:t xml:space="preserve">;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סייע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בביצוע עבירת החבלה בכוונה מחמירה וביצע בצוותא את העבירות 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31</w:t>
      </w:r>
      <w:r>
        <w:rPr>
          <w:rtl w:val="true"/>
        </w:rPr>
        <w:t>.</w:t>
        <w:tab/>
        <w:t xml:space="preserve">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ואדם אחר</w:t>
      </w:r>
      <w:r>
        <w:rPr>
          <w:rtl w:val="true"/>
        </w:rPr>
        <w:t xml:space="preserve">, </w:t>
      </w:r>
      <w:r>
        <w:rPr>
          <w:rtl w:val="true"/>
        </w:rPr>
        <w:t xml:space="preserve">עת נסעו ברכב הנאשמים שהיה נהוג על ידי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כיוונו אקדחים</w:t>
      </w:r>
      <w:r>
        <w:rPr>
          <w:rtl w:val="true"/>
        </w:rPr>
        <w:t xml:space="preserve">, </w:t>
      </w:r>
      <w:r>
        <w:rPr>
          <w:rtl w:val="true"/>
        </w:rPr>
        <w:t>שהחזיקו ונשאו שלא כדין</w:t>
      </w:r>
      <w:r>
        <w:rPr>
          <w:rtl w:val="true"/>
        </w:rPr>
        <w:t xml:space="preserve">, </w:t>
      </w:r>
      <w:r>
        <w:rPr>
          <w:rtl w:val="true"/>
        </w:rPr>
        <w:t>לעבר המתלונן וירו 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יריות לעברו</w:t>
      </w:r>
      <w:r>
        <w:rPr>
          <w:rtl w:val="true"/>
        </w:rPr>
        <w:t xml:space="preserve">; </w:t>
      </w:r>
      <w:r>
        <w:rPr>
          <w:rtl w:val="true"/>
        </w:rPr>
        <w:t xml:space="preserve">אחת היריות פגעה במתלונן וגרמה לשיתוק בגפיו התחתונות </w:t>
      </w:r>
      <w:r>
        <w:rPr>
          <w:rtl w:val="true"/>
        </w:rPr>
        <w:t xml:space="preserve">- </w:t>
      </w:r>
      <w:r>
        <w:rPr>
          <w:rtl w:val="true"/>
        </w:rPr>
        <w:t>מגובה הטבור ומטה</w:t>
      </w:r>
      <w:r>
        <w:rPr>
          <w:rtl w:val="true"/>
        </w:rPr>
        <w:t xml:space="preserve">. </w:t>
      </w:r>
      <w:r>
        <w:rPr>
          <w:rtl w:val="true"/>
        </w:rPr>
        <w:t>יומיים לפני אירוע זה</w:t>
      </w:r>
      <w:r>
        <w:rPr>
          <w:rtl w:val="true"/>
        </w:rPr>
        <w:t xml:space="preserve">, </w:t>
      </w:r>
      <w:r>
        <w:rPr>
          <w:rtl w:val="true"/>
        </w:rPr>
        <w:t xml:space="preserve">הכה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המתלונן באמצעות ידיו</w:t>
      </w:r>
      <w:r>
        <w:rPr>
          <w:rtl w:val="true"/>
        </w:rPr>
        <w:t xml:space="preserve">, </w:t>
      </w:r>
      <w:r>
        <w:rPr>
          <w:rtl w:val="true"/>
        </w:rPr>
        <w:t>בפניו ובצווארו וגרם לו חבלה של ממש ואף איים כי יפגע במתלונן באמצעות מבגר שהחזיק בידו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עובר לאירועים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שרר סכסוך בין משפחותיהם של הנאשמים לבין משפחתו של המתלונן</w:t>
      </w:r>
      <w:r>
        <w:rPr>
          <w:rtl w:val="true"/>
        </w:rPr>
        <w:t xml:space="preserve">; </w:t>
      </w: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פגעו הנאשמים במתלונן כמתואר לעיל</w:t>
      </w:r>
      <w:r>
        <w:rPr>
          <w:rtl w:val="true"/>
        </w:rPr>
        <w:t xml:space="preserve">; </w:t>
      </w:r>
      <w:r>
        <w:rPr>
          <w:rtl w:val="true"/>
        </w:rPr>
        <w:t>הפגיעה במתלונן נעשתה לאחר תכנון מוקדם</w:t>
      </w:r>
      <w:r>
        <w:rPr>
          <w:rtl w:val="true"/>
        </w:rPr>
        <w:t xml:space="preserve">, </w:t>
      </w:r>
      <w:r>
        <w:rPr>
          <w:rtl w:val="true"/>
        </w:rPr>
        <w:t>בשכונת מגורים בעיר נצרת</w:t>
      </w:r>
      <w:r>
        <w:rPr>
          <w:rtl w:val="true"/>
        </w:rPr>
        <w:t xml:space="preserve">. </w:t>
      </w:r>
      <w:r>
        <w:rPr>
          <w:rtl w:val="true"/>
        </w:rPr>
        <w:t>העבירות שבוצעו ע</w:t>
      </w:r>
      <w:r>
        <w:rPr>
          <w:rtl w:val="true"/>
        </w:rPr>
        <w:t>"</w:t>
      </w:r>
      <w:r>
        <w:rPr>
          <w:rtl w:val="true"/>
        </w:rPr>
        <w:t>י הנאשמים מסכנות לא רק את חייו של הקרבן המיועד</w:t>
      </w:r>
      <w:r>
        <w:rPr>
          <w:rtl w:val="true"/>
        </w:rPr>
        <w:t xml:space="preserve">, </w:t>
      </w:r>
      <w:r>
        <w:rPr>
          <w:rtl w:val="true"/>
        </w:rPr>
        <w:t>אלא גם את חייהם של אנשים תמימים הנמצאים בקירבת מקום</w:t>
      </w:r>
      <w:r>
        <w:rPr>
          <w:rtl w:val="true"/>
        </w:rPr>
        <w:t xml:space="preserve">; </w:t>
      </w:r>
      <w:r>
        <w:rPr>
          <w:rtl w:val="true"/>
        </w:rPr>
        <w:t>כאשר מתבצע ירי אל עבר אדם או ציבור</w:t>
      </w:r>
      <w:r>
        <w:rPr>
          <w:rtl w:val="true"/>
        </w:rPr>
        <w:t xml:space="preserve">, </w:t>
      </w:r>
      <w:r>
        <w:rPr>
          <w:rtl w:val="true"/>
        </w:rPr>
        <w:t>יש לראות את מבצע הירי כמי שמוכן לגרום למותם של אותם אנשים</w:t>
      </w:r>
      <w:r>
        <w:rPr>
          <w:rtl w:val="true"/>
        </w:rPr>
        <w:t xml:space="preserve">; </w:t>
      </w:r>
      <w:r>
        <w:rPr>
          <w:rtl w:val="true"/>
        </w:rPr>
        <w:t>גם אם לא נפגע אדם</w:t>
      </w:r>
      <w:r>
        <w:rPr>
          <w:rtl w:val="true"/>
        </w:rPr>
        <w:t xml:space="preserve">, </w:t>
      </w:r>
      <w:r>
        <w:rPr>
          <w:rtl w:val="true"/>
        </w:rPr>
        <w:t>הרי שהחומרה היא מעצם המעשה והפוטנציאל הקטלני</w:t>
      </w:r>
      <w:r>
        <w:rPr>
          <w:rtl w:val="true"/>
        </w:rPr>
        <w:t xml:space="preserve">. </w:t>
      </w:r>
      <w:r>
        <w:rPr>
          <w:rtl w:val="true"/>
        </w:rPr>
        <w:t>העובדה שהמתלונן דנן נותר בחיים</w:t>
      </w:r>
      <w:r>
        <w:rPr>
          <w:rtl w:val="true"/>
        </w:rPr>
        <w:t xml:space="preserve">, </w:t>
      </w:r>
      <w:r>
        <w:rPr>
          <w:rtl w:val="true"/>
        </w:rPr>
        <w:t>אין להגדירה אלא כנס</w:t>
      </w:r>
      <w:r>
        <w:rPr>
          <w:rtl w:val="true"/>
        </w:rPr>
        <w:t xml:space="preserve">; </w:t>
      </w:r>
      <w:r>
        <w:rPr>
          <w:rtl w:val="true"/>
        </w:rPr>
        <w:t>אך כפסע היה בינו ובין המוות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באשר לחומרת מעשיהם של הנאשמים ומדיניות הענישה הראויה בגין עבירות אלימות בנשק נפסק ב</w:t>
      </w:r>
      <w:hyperlink r:id="rId4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6163/09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קיאל קשאש</w:t>
      </w:r>
      <w:r>
        <w:rPr>
          <w:rtl w:val="true"/>
        </w:rPr>
        <w:t>:</w:t>
      </w:r>
    </w:p>
    <w:p>
      <w:pPr>
        <w:pStyle w:val="Ruller51"/>
        <w:spacing w:lineRule="auto" w:line="360"/>
        <w:ind w:start="1125" w:end="108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Arial TUR" w:hAnsi="Arial TUR" w:cs="Arial TUR"/>
          <w:b/>
          <w:bCs/>
        </w:rPr>
      </w:pPr>
      <w:r>
        <w:rPr>
          <w:rFonts w:cs="Arial TUR" w:ascii="Arial TUR" w:hAnsi="Arial TUR"/>
          <w:rtl w:val="true"/>
        </w:rPr>
        <w:t>"</w:t>
      </w:r>
      <w:r>
        <w:rPr>
          <w:rFonts w:ascii="Arial TUR" w:hAnsi="Arial TUR" w:cs="Arial TUR"/>
          <w:b/>
          <w:b/>
          <w:bCs/>
          <w:rtl w:val="true"/>
        </w:rPr>
        <w:t>אין צריך להכביר מלים על הידוע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שהמציאות הישראלית העכשוית מתאפיינת לא אחת ולא שתיים ביד קלה על קת הסכין או הדק הנשק</w:t>
      </w:r>
      <w:r>
        <w:rPr>
          <w:rFonts w:cs="Arial TUR" w:ascii="Arial TUR" w:hAnsi="Arial TUR"/>
          <w:b/>
          <w:bCs/>
          <w:rtl w:val="true"/>
        </w:rPr>
        <w:t xml:space="preserve">. </w:t>
      </w:r>
      <w:r>
        <w:rPr>
          <w:rFonts w:ascii="Arial TUR" w:hAnsi="Arial TUR" w:cs="Arial TUR"/>
          <w:b/>
          <w:b/>
          <w:bCs/>
          <w:rtl w:val="true"/>
        </w:rPr>
        <w:t>המדינה ציטטה את דברי בית המשפט ב</w:t>
      </w:r>
      <w:hyperlink r:id="rId50">
        <w:r>
          <w:rPr>
            <w:rStyle w:val="Hyperlink"/>
            <w:rFonts w:ascii="Arial TUR" w:hAnsi="Arial TUR" w:cs="Arial TUR"/>
            <w:b/>
            <w:b/>
            <w:bCs/>
            <w:rtl w:val="true"/>
          </w:rPr>
          <w:t>ע</w:t>
        </w:r>
        <w:r>
          <w:rPr>
            <w:rStyle w:val="Hyperlink"/>
            <w:rFonts w:cs="Arial TUR" w:ascii="Arial TUR" w:hAnsi="Arial TUR"/>
            <w:b/>
            <w:bCs/>
            <w:rtl w:val="true"/>
          </w:rPr>
          <w:t>"</w:t>
        </w:r>
        <w:r>
          <w:rPr>
            <w:rStyle w:val="Hyperlink"/>
            <w:rFonts w:ascii="Arial TUR" w:hAnsi="Arial TUR" w:cs="Arial TUR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 TUR" w:ascii="Arial TUR" w:hAnsi="Arial TUR"/>
            <w:b/>
            <w:bCs/>
          </w:rPr>
          <w:t>5753/04</w:t>
        </w:r>
      </w:hyperlink>
      <w:r>
        <w:rPr>
          <w:rFonts w:cs="Arial TUR" w:ascii="Arial TUR" w:hAnsi="Arial TUR"/>
          <w:b/>
          <w:bCs/>
          <w:rtl w:val="true"/>
        </w:rPr>
        <w:t xml:space="preserve"> </w:t>
      </w:r>
      <w:r>
        <w:rPr>
          <w:rFonts w:ascii="Arial TUR" w:hAnsi="Arial TUR" w:cs="Arial TUR"/>
          <w:b/>
          <w:b/>
          <w:bCs/>
          <w:rtl w:val="true"/>
        </w:rPr>
        <w:t>מדינת ישראל נ</w:t>
      </w:r>
      <w:r>
        <w:rPr>
          <w:rFonts w:cs="Arial TUR" w:ascii="Arial TUR" w:hAnsi="Arial TUR"/>
          <w:b/>
          <w:bCs/>
          <w:rtl w:val="true"/>
        </w:rPr>
        <w:t xml:space="preserve">' </w:t>
      </w:r>
      <w:r>
        <w:rPr>
          <w:rFonts w:ascii="Arial TUR" w:hAnsi="Arial TUR" w:cs="Arial TUR"/>
          <w:b/>
          <w:b/>
          <w:bCs/>
          <w:rtl w:val="true"/>
        </w:rPr>
        <w:t xml:space="preserve">רייכמן </w:t>
      </w:r>
      <w:r>
        <w:rPr>
          <w:rFonts w:cs="Arial TUR" w:ascii="Arial TUR" w:hAnsi="Arial TUR"/>
          <w:b/>
          <w:bCs/>
          <w:rtl w:val="true"/>
        </w:rPr>
        <w:t>(</w:t>
      </w:r>
      <w:r>
        <w:rPr>
          <w:rFonts w:ascii="Arial TUR" w:hAnsi="Arial TUR" w:cs="Arial TUR"/>
          <w:b/>
          <w:b/>
          <w:bCs/>
          <w:rtl w:val="true"/>
        </w:rPr>
        <w:t>לא פורסם</w:t>
      </w:r>
      <w:r>
        <w:rPr>
          <w:rFonts w:cs="Arial TUR" w:ascii="Arial TUR" w:hAnsi="Arial TUR"/>
          <w:b/>
          <w:bCs/>
          <w:rtl w:val="true"/>
        </w:rPr>
        <w:t xml:space="preserve">), </w:t>
      </w:r>
      <w:r>
        <w:rPr>
          <w:rFonts w:ascii="Arial TUR" w:hAnsi="Arial TUR" w:cs="Arial TUR"/>
          <w:b/>
          <w:b/>
          <w:bCs/>
          <w:rtl w:val="true"/>
        </w:rPr>
        <w:t xml:space="preserve">מפי השופט </w:t>
      </w:r>
      <w:r>
        <w:rPr>
          <w:rFonts w:cs="Arial TUR" w:ascii="Arial TUR" w:hAnsi="Arial TUR"/>
          <w:b/>
          <w:bCs/>
          <w:rtl w:val="true"/>
        </w:rPr>
        <w:t xml:space="preserve">- </w:t>
      </w:r>
      <w:r>
        <w:rPr>
          <w:rFonts w:ascii="Arial TUR" w:hAnsi="Arial TUR" w:cs="Arial TUR"/>
          <w:b/>
          <w:b/>
          <w:bCs/>
          <w:rtl w:val="true"/>
        </w:rPr>
        <w:t xml:space="preserve">כתארו אז </w:t>
      </w:r>
      <w:r>
        <w:rPr>
          <w:rFonts w:cs="Arial TUR" w:ascii="Arial TUR" w:hAnsi="Arial TUR"/>
          <w:b/>
          <w:bCs/>
          <w:rtl w:val="true"/>
        </w:rPr>
        <w:t xml:space="preserve">- </w:t>
      </w:r>
      <w:r>
        <w:rPr>
          <w:rFonts w:ascii="Arial TUR" w:hAnsi="Arial TUR" w:cs="Arial TUR"/>
          <w:b/>
          <w:b/>
          <w:bCs/>
          <w:rtl w:val="true"/>
        </w:rPr>
        <w:t>מ</w:t>
      </w:r>
      <w:r>
        <w:rPr>
          <w:rFonts w:cs="Arial TUR" w:ascii="Arial TUR" w:hAnsi="Arial TUR"/>
          <w:b/>
          <w:bCs/>
          <w:rtl w:val="true"/>
        </w:rPr>
        <w:t xml:space="preserve">' </w:t>
      </w:r>
      <w:r>
        <w:rPr>
          <w:rFonts w:ascii="Arial TUR" w:hAnsi="Arial TUR" w:cs="Arial TUR"/>
          <w:b/>
          <w:b/>
          <w:bCs/>
          <w:rtl w:val="true"/>
        </w:rPr>
        <w:t>חשין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ונביא מהם כאן</w:t>
      </w:r>
      <w:r>
        <w:rPr>
          <w:rFonts w:cs="Arial TUR" w:ascii="Arial TUR" w:hAnsi="Arial TUR"/>
          <w:b/>
          <w:bCs/>
          <w:rtl w:val="true"/>
        </w:rPr>
        <w:t xml:space="preserve">: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 TUR" w:hAnsi="Arial TUR" w:cs="Arial TUR"/>
          <w:b/>
          <w:bCs/>
        </w:rPr>
      </w:pPr>
      <w:r>
        <w:rPr>
          <w:rFonts w:cs="Arial TUR" w:ascii="Arial TUR" w:hAnsi="Arial TUR"/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1642" w:end="1282"/>
        <w:jc w:val="both"/>
        <w:rPr>
          <w:rFonts w:ascii="Arial TUR" w:hAnsi="Arial TUR" w:cs="Arial TUR"/>
          <w:b/>
          <w:bCs/>
          <w:spacing w:val="10"/>
        </w:rPr>
      </w:pPr>
      <w:r>
        <w:rPr>
          <w:rFonts w:cs="Arial TUR" w:ascii="Arial TUR" w:hAnsi="Arial TUR"/>
          <w:b/>
          <w:bCs/>
          <w:spacing w:val="10"/>
          <w:rtl w:val="true"/>
        </w:rPr>
        <w:t>"</w:t>
      </w:r>
      <w:r>
        <w:rPr>
          <w:rFonts w:ascii="Arial TUR" w:hAnsi="Arial TUR" w:cs="Arial TUR"/>
          <w:b/>
          <w:b/>
          <w:bCs/>
          <w:spacing w:val="10"/>
          <w:rtl w:val="true"/>
        </w:rPr>
        <w:t>לאחרונה נתקלים אנו במעשי בריונות שלא ידענו בעבר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rtl w:val="true"/>
        </w:rPr>
        <w:t>שאם בעבר יישבו צעירים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וגם מי שאינם צעירים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 xml:space="preserve">חילוקי דיעות שביניהם בסכינים שנעצו בגופו של הזולת </w:t>
      </w:r>
      <w:r>
        <w:rPr>
          <w:rFonts w:cs="Arial TUR" w:ascii="Arial TUR" w:hAnsi="Arial TUR"/>
          <w:b/>
          <w:bCs/>
          <w:spacing w:val="10"/>
          <w:rtl w:val="true"/>
        </w:rPr>
        <w:t>- "</w:t>
      </w:r>
      <w:r>
        <w:rPr>
          <w:rFonts w:ascii="Arial TUR" w:hAnsi="Arial TUR" w:cs="Arial TUR"/>
          <w:b/>
          <w:b/>
          <w:bCs/>
          <w:spacing w:val="10"/>
          <w:rtl w:val="true"/>
        </w:rPr>
        <w:t>תת תרבות הסכין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" </w:t>
      </w:r>
      <w:r>
        <w:rPr>
          <w:rFonts w:ascii="Arial TUR" w:hAnsi="Arial TUR" w:cs="Arial TUR"/>
          <w:b/>
          <w:b/>
          <w:bCs/>
          <w:spacing w:val="10"/>
          <w:rtl w:val="true"/>
        </w:rPr>
        <w:t xml:space="preserve">קראנו לתופעה ממאירה זו 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- </w:t>
      </w:r>
      <w:r>
        <w:rPr>
          <w:rFonts w:ascii="Arial TUR" w:hAnsi="Arial TUR" w:cs="Arial TUR"/>
          <w:b/>
          <w:b/>
          <w:bCs/>
          <w:spacing w:val="10"/>
          <w:rtl w:val="true"/>
        </w:rPr>
        <w:t xml:space="preserve">הנה כיום עלינו 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- </w:t>
      </w:r>
      <w:r>
        <w:rPr>
          <w:rFonts w:ascii="Arial TUR" w:hAnsi="Arial TUR" w:cs="Arial TUR"/>
          <w:b/>
          <w:b/>
          <w:bCs/>
          <w:spacing w:val="10"/>
          <w:rtl w:val="true"/>
        </w:rPr>
        <w:t>או שמא נאמר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: </w:t>
      </w:r>
      <w:r>
        <w:rPr>
          <w:rFonts w:ascii="Arial TUR" w:hAnsi="Arial TUR" w:cs="Arial TUR"/>
          <w:b/>
          <w:b/>
          <w:bCs/>
          <w:spacing w:val="10"/>
          <w:rtl w:val="true"/>
        </w:rPr>
        <w:t xml:space="preserve">ירדנו 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- </w:t>
      </w:r>
      <w:r>
        <w:rPr>
          <w:rFonts w:ascii="Arial TUR" w:hAnsi="Arial TUR" w:cs="Arial TUR"/>
          <w:b/>
          <w:b/>
          <w:bCs/>
          <w:spacing w:val="10"/>
          <w:rtl w:val="true"/>
        </w:rPr>
        <w:t>ברמה ובחומרה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; </w:t>
      </w:r>
      <w:r>
        <w:rPr>
          <w:rFonts w:ascii="Arial TUR" w:hAnsi="Arial TUR" w:cs="Arial TUR"/>
          <w:b/>
          <w:b/>
          <w:bCs/>
          <w:spacing w:val="10"/>
          <w:rtl w:val="true"/>
        </w:rPr>
        <w:t>לא עוד יישוב סיכסוכים בנשק קר אלא יישוב סיכסוכים בנשק חם</w:t>
      </w:r>
      <w:r>
        <w:rPr>
          <w:rFonts w:cs="Arial TUR" w:ascii="Arial TUR" w:hAnsi="Arial TUR"/>
          <w:b/>
          <w:bCs/>
          <w:spacing w:val="10"/>
          <w:rtl w:val="true"/>
        </w:rPr>
        <w:t>. "</w:t>
      </w:r>
      <w:r>
        <w:rPr>
          <w:rFonts w:ascii="Arial TUR" w:hAnsi="Arial TUR" w:cs="Arial TUR"/>
          <w:b/>
          <w:b/>
          <w:bCs/>
          <w:spacing w:val="10"/>
          <w:rtl w:val="true"/>
        </w:rPr>
        <w:t>סיכסוכים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" </w:t>
      </w:r>
      <w:r>
        <w:rPr>
          <w:rFonts w:ascii="Arial TUR" w:hAnsi="Arial TUR" w:cs="Arial TUR"/>
          <w:b/>
          <w:b/>
          <w:bCs/>
          <w:spacing w:val="10"/>
          <w:rtl w:val="true"/>
        </w:rPr>
        <w:t>קראנו לאותם חילוקי דיעות שאנשים מבקשים ליישבם באלימות קשה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אלא שלמרבה התמיהה והצער אין המדובר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ברוב המקרים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בסיכסוכים של ממש אלא בסיכסוכים שניתן לכנותם סיכסוכי</w:t>
      </w:r>
      <w:r>
        <w:rPr>
          <w:rFonts w:cs="Arial TUR" w:ascii="Arial TUR" w:hAnsi="Arial TUR"/>
          <w:b/>
          <w:bCs/>
          <w:spacing w:val="10"/>
          <w:rtl w:val="true"/>
        </w:rPr>
        <w:t>-</w:t>
      </w:r>
      <w:r>
        <w:rPr>
          <w:rFonts w:ascii="Arial TUR" w:hAnsi="Arial TUR" w:cs="Arial TUR"/>
          <w:b/>
          <w:b/>
          <w:bCs/>
          <w:spacing w:val="10"/>
          <w:rtl w:val="true"/>
        </w:rPr>
        <w:t>זוטא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rtl w:val="true"/>
        </w:rPr>
        <w:t>סיכסוכי</w:t>
      </w:r>
      <w:r>
        <w:rPr>
          <w:rFonts w:cs="Arial TUR" w:ascii="Arial TUR" w:hAnsi="Arial TUR"/>
          <w:b/>
          <w:bCs/>
          <w:spacing w:val="10"/>
          <w:rtl w:val="true"/>
        </w:rPr>
        <w:t>-</w:t>
      </w:r>
      <w:r>
        <w:rPr>
          <w:rFonts w:ascii="Arial TUR" w:hAnsi="Arial TUR" w:cs="Arial TUR"/>
          <w:b/>
          <w:b/>
          <w:bCs/>
          <w:spacing w:val="10"/>
          <w:rtl w:val="true"/>
        </w:rPr>
        <w:t>זוטא אלה מעורבים בהם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על הרוב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אנשים צעירים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ועל דברים של מה</w:t>
      </w:r>
      <w:r>
        <w:rPr>
          <w:rFonts w:cs="Arial TUR" w:ascii="Arial TUR" w:hAnsi="Arial TUR"/>
          <w:b/>
          <w:bCs/>
          <w:spacing w:val="10"/>
          <w:rtl w:val="true"/>
        </w:rPr>
        <w:t>-</w:t>
      </w:r>
      <w:r>
        <w:rPr>
          <w:rFonts w:ascii="Arial TUR" w:hAnsi="Arial TUR" w:cs="Arial TUR"/>
          <w:b/>
          <w:b/>
          <w:bCs/>
          <w:spacing w:val="10"/>
          <w:rtl w:val="true"/>
        </w:rPr>
        <w:t>בכך נשלפת סכין וננעצת בגוף הזולת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rtl w:val="true"/>
        </w:rPr>
        <w:t>לאחרונה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כאמור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נשלף כלי ירייה קטלני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1642" w:end="1282"/>
        <w:jc w:val="both"/>
        <w:rPr>
          <w:rFonts w:ascii="Arial TUR" w:hAnsi="Arial TUR" w:cs="Arial TUR"/>
          <w:b/>
          <w:bCs/>
          <w:spacing w:val="10"/>
        </w:rPr>
      </w:pPr>
      <w:r>
        <w:rPr>
          <w:rFonts w:cs="Arial TUR" w:ascii="Arial TUR" w:hAnsi="Arial TUR"/>
          <w:b/>
          <w:bCs/>
          <w:spacing w:val="10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1642" w:end="1282"/>
        <w:jc w:val="both"/>
        <w:rPr>
          <w:rFonts w:ascii="Arial TUR" w:hAnsi="Arial TUR" w:cs="Arial TUR"/>
          <w:b/>
          <w:bCs/>
          <w:spacing w:val="10"/>
        </w:rPr>
      </w:pPr>
      <w:r>
        <w:rPr>
          <w:rFonts w:ascii="Arial TUR" w:hAnsi="Arial TUR" w:cs="Arial TUR"/>
          <w:b/>
          <w:b/>
          <w:bCs/>
          <w:spacing w:val="10"/>
          <w:rtl w:val="true"/>
        </w:rPr>
        <w:t>תופעה נוראה זו פשתה בחברתנו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היתה כמחלה ממארת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וחובה היא המוטלת עלינו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על בית</w:t>
      </w:r>
      <w:r>
        <w:rPr>
          <w:rFonts w:cs="Arial TUR" w:ascii="Arial TUR" w:hAnsi="Arial TUR"/>
          <w:b/>
          <w:bCs/>
          <w:spacing w:val="10"/>
          <w:rtl w:val="true"/>
        </w:rPr>
        <w:t>-</w:t>
      </w:r>
      <w:r>
        <w:rPr>
          <w:rFonts w:ascii="Arial TUR" w:hAnsi="Arial TUR" w:cs="Arial TUR"/>
          <w:b/>
          <w:b/>
          <w:bCs/>
          <w:spacing w:val="10"/>
          <w:rtl w:val="true"/>
        </w:rPr>
        <w:t>המשפט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להעלות תרומתו למלחמה קשה זו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rtl w:val="true"/>
        </w:rPr>
        <w:t>מלחמה היא שאסור לעשות בה ויתורים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שאם נוותר ונסלח תתגבר התופעה ותלך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rtl w:val="true"/>
        </w:rPr>
        <w:t>חברתנו הפכה להיותה חברה אלימה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ותרומתו של בית</w:t>
      </w:r>
      <w:r>
        <w:rPr>
          <w:rFonts w:cs="Arial TUR" w:ascii="Arial TUR" w:hAnsi="Arial TUR"/>
          <w:b/>
          <w:bCs/>
          <w:spacing w:val="10"/>
          <w:rtl w:val="true"/>
        </w:rPr>
        <w:t>-</w:t>
      </w:r>
      <w:r>
        <w:rPr>
          <w:rFonts w:ascii="Arial TUR" w:hAnsi="Arial TUR" w:cs="Arial TUR"/>
          <w:b/>
          <w:b/>
          <w:bCs/>
          <w:spacing w:val="10"/>
          <w:rtl w:val="true"/>
        </w:rPr>
        <w:t>המשפט למלחמה באלימות היא בהטלת עונשים ראויים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rtl w:val="true"/>
        </w:rPr>
        <w:t>בבואנו לגזור עונשים על עבריינים כמשיב שלפנינו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שומה עלינו לשוות נגד עינינו לא רק את המשיב ואת צורכי שיקומו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; </w:t>
      </w:r>
      <w:r>
        <w:rPr>
          <w:rFonts w:ascii="Arial TUR" w:hAnsi="Arial TUR" w:cs="Arial TUR"/>
          <w:b/>
          <w:b/>
          <w:bCs/>
          <w:spacing w:val="10"/>
          <w:rtl w:val="true"/>
        </w:rPr>
        <w:t>לא רק את משפחתו הסובלת בשל מעשיו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; </w:t>
      </w:r>
      <w:r>
        <w:rPr>
          <w:rFonts w:ascii="Arial TUR" w:hAnsi="Arial TUR" w:cs="Arial TUR"/>
          <w:b/>
          <w:b/>
          <w:bCs/>
          <w:spacing w:val="10"/>
          <w:rtl w:val="true"/>
        </w:rPr>
        <w:t>אלא גם את הנפגעים ממעשיו של המשיב ואת הנפגעים ממעשים</w:t>
      </w:r>
      <w:r>
        <w:rPr>
          <w:rFonts w:cs="Arial TUR" w:ascii="Arial TUR" w:hAnsi="Arial TUR"/>
          <w:b/>
          <w:bCs/>
          <w:spacing w:val="10"/>
          <w:rtl w:val="true"/>
        </w:rPr>
        <w:t>-</w:t>
      </w:r>
      <w:r>
        <w:rPr>
          <w:rFonts w:ascii="Arial TUR" w:hAnsi="Arial TUR" w:cs="Arial TUR"/>
          <w:b/>
          <w:b/>
          <w:bCs/>
          <w:spacing w:val="10"/>
          <w:rtl w:val="true"/>
        </w:rPr>
        <w:t>בכוח שייעשו אם לא נגיב בחומרה על מעשים כמעשה המשיב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". </w:t>
      </w:r>
    </w:p>
    <w:p>
      <w:pPr>
        <w:pStyle w:val="Normal"/>
        <w:overflowPunct w:val="false"/>
        <w:autoSpaceDE w:val="false"/>
        <w:ind w:start="1642" w:end="1282"/>
        <w:jc w:val="both"/>
        <w:rPr>
          <w:rFonts w:ascii="Arial TUR" w:hAnsi="Arial TUR" w:cs="Arial TUR"/>
          <w:b/>
          <w:bCs/>
          <w:spacing w:val="10"/>
        </w:rPr>
      </w:pPr>
      <w:r>
        <w:rPr>
          <w:rFonts w:cs="Arial TUR" w:ascii="Arial TUR" w:hAnsi="Arial TUR"/>
          <w:b/>
          <w:bCs/>
          <w:spacing w:val="10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360" w:end="0"/>
        <w:jc w:val="both"/>
        <w:rPr>
          <w:rFonts w:ascii="Arial TUR" w:hAnsi="Arial TUR" w:cs="Arial TUR"/>
          <w:b/>
          <w:bCs/>
        </w:rPr>
      </w:pPr>
      <w:r>
        <w:rPr>
          <w:b/>
          <w:b/>
          <w:bCs/>
          <w:spacing w:val="10"/>
          <w:rtl w:val="true"/>
        </w:rPr>
        <w:t>דברים אלה כוחם עמם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ועוד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ב</w:t>
      </w:r>
      <w:hyperlink r:id="rId51">
        <w:r>
          <w:rPr>
            <w:rStyle w:val="Hyperlink"/>
            <w:b/>
            <w:b/>
            <w:bCs/>
            <w:spacing w:val="10"/>
            <w:rtl w:val="true"/>
          </w:rPr>
          <w:t>ע</w:t>
        </w:r>
        <w:r>
          <w:rPr>
            <w:rStyle w:val="Hyperlink"/>
            <w:b/>
            <w:bCs/>
            <w:spacing w:val="10"/>
            <w:rtl w:val="true"/>
          </w:rPr>
          <w:t>"</w:t>
        </w:r>
        <w:r>
          <w:rPr>
            <w:rStyle w:val="Hyperlink"/>
            <w:b/>
            <w:b/>
            <w:bCs/>
            <w:spacing w:val="10"/>
            <w:rtl w:val="true"/>
          </w:rPr>
          <w:t xml:space="preserve">פ </w:t>
        </w:r>
        <w:r>
          <w:rPr>
            <w:rStyle w:val="Hyperlink"/>
            <w:b/>
            <w:bCs/>
            <w:spacing w:val="10"/>
          </w:rPr>
          <w:t>2909/04</w:t>
        </w:r>
      </w:hyperlink>
      <w:r>
        <w:rPr>
          <w:rFonts w:cs="Arial TUR" w:ascii="Arial TUR" w:hAnsi="Arial TUR"/>
          <w:b/>
          <w:bCs/>
          <w:rtl w:val="true"/>
        </w:rPr>
        <w:t xml:space="preserve"> </w:t>
      </w:r>
      <w:r>
        <w:rPr>
          <w:rFonts w:ascii="Arial TUR" w:hAnsi="Arial TUR" w:cs="Arial TUR"/>
          <w:b/>
          <w:b/>
          <w:bCs/>
          <w:rtl w:val="true"/>
        </w:rPr>
        <w:t>סדון נ</w:t>
      </w:r>
      <w:r>
        <w:rPr>
          <w:rFonts w:cs="Arial TUR" w:ascii="Arial TUR" w:hAnsi="Arial TUR"/>
          <w:b/>
          <w:bCs/>
          <w:rtl w:val="true"/>
        </w:rPr>
        <w:t xml:space="preserve">' </w:t>
      </w:r>
      <w:r>
        <w:rPr>
          <w:rFonts w:ascii="Arial TUR" w:hAnsi="Arial TUR" w:cs="Arial TUR"/>
          <w:b/>
          <w:b/>
          <w:bCs/>
          <w:rtl w:val="true"/>
        </w:rPr>
        <w:t xml:space="preserve">מדינת ישראל </w:t>
      </w:r>
      <w:r>
        <w:rPr>
          <w:rFonts w:cs="Arial TUR" w:ascii="Arial TUR" w:hAnsi="Arial TUR"/>
          <w:b/>
          <w:bCs/>
          <w:rtl w:val="true"/>
        </w:rPr>
        <w:t>(</w:t>
      </w:r>
      <w:r>
        <w:rPr>
          <w:rFonts w:ascii="Arial TUR" w:hAnsi="Arial TUR" w:cs="Arial TUR"/>
          <w:b/>
          <w:b/>
          <w:bCs/>
          <w:rtl w:val="true"/>
        </w:rPr>
        <w:t>לא פורסם</w:t>
      </w:r>
      <w:r>
        <w:rPr>
          <w:rFonts w:cs="Arial TUR" w:ascii="Arial TUR" w:hAnsi="Arial TUR"/>
          <w:b/>
          <w:bCs/>
          <w:rtl w:val="true"/>
        </w:rPr>
        <w:t xml:space="preserve">) </w:t>
      </w:r>
      <w:r>
        <w:rPr>
          <w:rFonts w:ascii="Arial TUR" w:hAnsi="Arial TUR" w:cs="Arial TUR"/>
          <w:b/>
          <w:b/>
          <w:bCs/>
          <w:rtl w:val="true"/>
        </w:rPr>
        <w:t>ציינה השופטת נאור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 xml:space="preserve">כי </w:t>
      </w:r>
      <w:r>
        <w:rPr>
          <w:rFonts w:cs="Arial TUR" w:ascii="Arial TUR" w:hAnsi="Arial TUR"/>
          <w:b/>
          <w:bCs/>
          <w:rtl w:val="true"/>
        </w:rPr>
        <w:t>"</w:t>
      </w:r>
      <w:r>
        <w:rPr>
          <w:rFonts w:ascii="Arial TUR" w:hAnsi="Arial TUR" w:cs="Arial TUR"/>
          <w:b/>
          <w:b/>
          <w:bCs/>
          <w:rtl w:val="true"/>
        </w:rPr>
        <w:t>כל נסיון לפתור סכסוכים באמצעות סכינים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יריות וכל כיוצא באלו מחייב תגובה עונשית הולמת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למען יראו וייראו</w:t>
      </w:r>
      <w:r>
        <w:rPr>
          <w:rFonts w:cs="Arial TUR" w:ascii="Arial TUR" w:hAnsi="Arial TUR"/>
          <w:b/>
          <w:bCs/>
          <w:rtl w:val="true"/>
        </w:rPr>
        <w:t xml:space="preserve">". </w:t>
      </w:r>
      <w:r>
        <w:rPr>
          <w:rFonts w:ascii="Arial TUR" w:hAnsi="Arial TUR" w:cs="Arial TUR"/>
          <w:b/>
          <w:b/>
          <w:bCs/>
          <w:rtl w:val="true"/>
        </w:rPr>
        <w:t>אפשר להוסיף לכך את מה שמלמדנו השכל הישר אל נכון</w:t>
      </w:r>
      <w:r>
        <w:rPr>
          <w:rFonts w:cs="Arial TUR" w:ascii="Arial TUR" w:hAnsi="Arial TUR"/>
          <w:b/>
          <w:bCs/>
          <w:rtl w:val="true"/>
        </w:rPr>
        <w:t xml:space="preserve">; </w:t>
      </w:r>
      <w:r>
        <w:rPr>
          <w:rFonts w:ascii="Arial TUR" w:hAnsi="Arial TUR" w:cs="Arial TUR"/>
          <w:b/>
          <w:b/>
          <w:bCs/>
          <w:rtl w:val="true"/>
        </w:rPr>
        <w:t>פשיטא כי סכין מסוכן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 xml:space="preserve">ואין חולק כי מסוכן הוא </w:t>
      </w:r>
      <w:r>
        <w:rPr>
          <w:rFonts w:cs="Arial TUR" w:ascii="Arial TUR" w:hAnsi="Arial TUR"/>
          <w:b/>
          <w:bCs/>
          <w:rtl w:val="true"/>
        </w:rPr>
        <w:t>(</w:t>
      </w:r>
      <w:r>
        <w:rPr>
          <w:rFonts w:ascii="Arial TUR" w:hAnsi="Arial TUR" w:cs="Arial TUR"/>
          <w:b/>
          <w:b/>
          <w:bCs/>
          <w:rtl w:val="true"/>
        </w:rPr>
        <w:t xml:space="preserve">נכדותי הקטנות לומדות </w:t>
      </w:r>
      <w:r>
        <w:rPr>
          <w:rFonts w:cs="Arial TUR" w:ascii="Arial TUR" w:hAnsi="Arial TUR"/>
          <w:b/>
          <w:bCs/>
          <w:rtl w:val="true"/>
        </w:rPr>
        <w:t>"</w:t>
      </w:r>
      <w:r>
        <w:rPr>
          <w:rFonts w:ascii="Arial TUR" w:hAnsi="Arial TUR" w:cs="Arial TUR"/>
          <w:b/>
          <w:b/>
          <w:bCs/>
          <w:rtl w:val="true"/>
        </w:rPr>
        <w:t xml:space="preserve">סכין ביד קטנה </w:t>
      </w:r>
      <w:r>
        <w:rPr>
          <w:rFonts w:cs="Arial TUR" w:ascii="Arial TUR" w:hAnsi="Arial TUR"/>
          <w:b/>
          <w:bCs/>
          <w:rtl w:val="true"/>
        </w:rPr>
        <w:t xml:space="preserve">- </w:t>
      </w:r>
      <w:r>
        <w:rPr>
          <w:rFonts w:ascii="Arial TUR" w:hAnsi="Arial TUR" w:cs="Arial TUR"/>
          <w:b/>
          <w:b/>
          <w:bCs/>
          <w:rtl w:val="true"/>
        </w:rPr>
        <w:t>סכנה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סכנה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סכנה</w:t>
      </w:r>
      <w:r>
        <w:rPr>
          <w:rFonts w:cs="Arial TUR" w:ascii="Arial TUR" w:hAnsi="Arial TUR"/>
          <w:b/>
          <w:bCs/>
          <w:rtl w:val="true"/>
        </w:rPr>
        <w:t xml:space="preserve">" - </w:t>
      </w:r>
      <w:r>
        <w:rPr>
          <w:rFonts w:ascii="Arial TUR" w:hAnsi="Arial TUR" w:cs="Arial TUR"/>
          <w:b/>
          <w:b/>
          <w:bCs/>
          <w:rtl w:val="true"/>
        </w:rPr>
        <w:t xml:space="preserve">לא כל שכן ביד </w:t>
      </w:r>
      <w:r>
        <w:rPr>
          <w:rFonts w:cs="Arial TUR" w:ascii="Arial TUR" w:hAnsi="Arial TUR"/>
          <w:b/>
          <w:bCs/>
          <w:rtl w:val="true"/>
        </w:rPr>
        <w:t>"</w:t>
      </w:r>
      <w:r>
        <w:rPr>
          <w:rFonts w:ascii="Arial TUR" w:hAnsi="Arial TUR" w:cs="Arial TUR"/>
          <w:b/>
          <w:b/>
          <w:bCs/>
          <w:rtl w:val="true"/>
        </w:rPr>
        <w:t>גדולה</w:t>
      </w:r>
      <w:r>
        <w:rPr>
          <w:rFonts w:cs="Arial TUR" w:ascii="Arial TUR" w:hAnsi="Arial TUR"/>
          <w:b/>
          <w:bCs/>
          <w:rtl w:val="true"/>
        </w:rPr>
        <w:t xml:space="preserve">"); </w:t>
      </w:r>
      <w:r>
        <w:rPr>
          <w:rFonts w:ascii="Arial TUR" w:hAnsi="Arial TUR" w:cs="Arial TUR"/>
          <w:b/>
          <w:b/>
          <w:bCs/>
          <w:rtl w:val="true"/>
        </w:rPr>
        <w:t>נשק חם מסוכן הימנו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שכן פגיעתו עלולה להיות רעה עוד יותר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ובאופן משמעותי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תוך סיכון לעוברים ושבים</w:t>
      </w:r>
      <w:r>
        <w:rPr>
          <w:rFonts w:cs="Arial TUR" w:ascii="Arial TUR" w:hAnsi="Arial TUR"/>
          <w:b/>
          <w:bCs/>
          <w:rtl w:val="true"/>
        </w:rPr>
        <w:t xml:space="preserve">. </w:t>
      </w:r>
      <w:r>
        <w:rPr>
          <w:rFonts w:ascii="Arial TUR" w:hAnsi="Arial TUR" w:cs="Arial TUR"/>
          <w:b/>
          <w:b/>
          <w:bCs/>
          <w:rtl w:val="true"/>
        </w:rPr>
        <w:t>בשונה מארה</w:t>
      </w:r>
      <w:r>
        <w:rPr>
          <w:rFonts w:cs="Arial TUR" w:ascii="Arial TUR" w:hAnsi="Arial TUR"/>
          <w:b/>
          <w:bCs/>
          <w:rtl w:val="true"/>
        </w:rPr>
        <w:t>"</w:t>
      </w:r>
      <w:r>
        <w:rPr>
          <w:rFonts w:ascii="Arial TUR" w:hAnsi="Arial TUR" w:cs="Arial TUR"/>
          <w:b/>
          <w:b/>
          <w:bCs/>
          <w:rtl w:val="true"/>
        </w:rPr>
        <w:t>ב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למשל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 xml:space="preserve">נשיאת נשק בישראל אינה זכות חוקתית אלא – במישור האזרחי </w:t>
      </w:r>
      <w:r>
        <w:rPr>
          <w:rFonts w:cs="Arial TUR" w:ascii="Arial TUR" w:hAnsi="Arial TUR"/>
          <w:b/>
          <w:bCs/>
          <w:rtl w:val="true"/>
        </w:rPr>
        <w:t xml:space="preserve">- </w:t>
      </w:r>
      <w:r>
        <w:rPr>
          <w:rFonts w:ascii="Arial TUR" w:hAnsi="Arial TUR" w:cs="Arial TUR"/>
          <w:b/>
          <w:b/>
          <w:bCs/>
          <w:rtl w:val="true"/>
        </w:rPr>
        <w:t xml:space="preserve">פריבילגיה מבוקרת </w:t>
      </w:r>
      <w:r>
        <w:rPr>
          <w:rFonts w:cs="Arial TUR" w:ascii="Arial TUR" w:hAnsi="Arial TUR"/>
          <w:b/>
          <w:bCs/>
          <w:rtl w:val="true"/>
        </w:rPr>
        <w:t>(</w:t>
      </w:r>
      <w:hyperlink r:id="rId52">
        <w:r>
          <w:rPr>
            <w:rStyle w:val="Hyperlink"/>
            <w:rFonts w:ascii="Arial TUR" w:hAnsi="Arial TUR" w:cs="Arial TUR"/>
            <w:b/>
            <w:b/>
            <w:bCs/>
            <w:rtl w:val="true"/>
          </w:rPr>
          <w:t>חוק כלי היריה</w:t>
        </w:r>
      </w:hyperlink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תש</w:t>
      </w:r>
      <w:r>
        <w:rPr>
          <w:rFonts w:cs="Arial TUR" w:ascii="Arial TUR" w:hAnsi="Arial TUR"/>
          <w:b/>
          <w:bCs/>
          <w:rtl w:val="true"/>
        </w:rPr>
        <w:t>"</w:t>
      </w:r>
      <w:r>
        <w:rPr>
          <w:rFonts w:ascii="Arial TUR" w:hAnsi="Arial TUR" w:cs="Arial TUR"/>
          <w:b/>
          <w:b/>
          <w:bCs/>
          <w:rtl w:val="true"/>
        </w:rPr>
        <w:t>ט</w:t>
      </w:r>
      <w:r>
        <w:rPr>
          <w:rFonts w:cs="Arial TUR" w:ascii="Arial TUR" w:hAnsi="Arial TUR"/>
          <w:b/>
          <w:bCs/>
          <w:rtl w:val="true"/>
        </w:rPr>
        <w:t>-</w:t>
      </w:r>
      <w:r>
        <w:rPr>
          <w:rFonts w:cs="Arial TUR" w:ascii="Arial TUR" w:hAnsi="Arial TUR"/>
          <w:b/>
          <w:bCs/>
        </w:rPr>
        <w:t>1949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 xml:space="preserve">סעיף </w:t>
      </w:r>
      <w:r>
        <w:rPr>
          <w:rFonts w:cs="Arial TUR" w:ascii="Arial TUR" w:hAnsi="Arial TUR"/>
          <w:b/>
          <w:bCs/>
        </w:rPr>
        <w:t>4</w:t>
      </w:r>
      <w:r>
        <w:rPr>
          <w:rFonts w:cs="Arial TUR" w:ascii="Arial TUR" w:hAnsi="Arial TUR"/>
          <w:b/>
          <w:bCs/>
          <w:rtl w:val="true"/>
        </w:rPr>
        <w:t xml:space="preserve">). </w:t>
      </w:r>
      <w:r>
        <w:rPr>
          <w:rFonts w:ascii="Arial TUR" w:hAnsi="Arial TUR" w:cs="Arial TUR"/>
          <w:b/>
          <w:b/>
          <w:bCs/>
          <w:rtl w:val="true"/>
        </w:rPr>
        <w:t>על כן על בתי המשפט לאותת בהתמדה שאט נפש שיפוטי מעבירות בנשק על</w:t>
      </w:r>
      <w:r>
        <w:rPr>
          <w:rFonts w:cs="Arial TUR" w:ascii="Arial TUR" w:hAnsi="Arial TUR"/>
          <w:b/>
          <w:bCs/>
          <w:rtl w:val="true"/>
        </w:rPr>
        <w:t>-</w:t>
      </w:r>
      <w:r>
        <w:rPr>
          <w:rFonts w:ascii="Arial TUR" w:hAnsi="Arial TUR" w:cs="Arial TUR"/>
          <w:b/>
          <w:b/>
          <w:bCs/>
          <w:rtl w:val="true"/>
        </w:rPr>
        <w:t>ידי ענישה מחמירה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זאת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גם בזכרנו כי רבים בישראל נושאים נשק חם במסגרת שירותם הצבאי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ועל כן נפוץ הוא בפועל בכמויות גדולות</w:t>
      </w:r>
      <w:r>
        <w:rPr>
          <w:rFonts w:cs="Arial TUR" w:ascii="Arial TUR" w:hAnsi="Arial TUR"/>
          <w:b/>
          <w:bCs/>
          <w:rtl w:val="true"/>
        </w:rPr>
        <w:t xml:space="preserve">; </w:t>
      </w:r>
      <w:r>
        <w:rPr>
          <w:rFonts w:ascii="Arial TUR" w:hAnsi="Arial TUR" w:cs="Arial TUR"/>
          <w:b/>
          <w:b/>
          <w:bCs/>
          <w:rtl w:val="true"/>
        </w:rPr>
        <w:t>ואכן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 xml:space="preserve">בפרשת </w:t>
      </w:r>
      <w:r>
        <w:rPr>
          <w:b/>
          <w:b/>
          <w:bCs/>
          <w:rtl w:val="true"/>
        </w:rPr>
        <w:t>סדון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שלא היתה רחוקה הרבה מענייננו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נדון המערער לשבע שנות מאסר בפועל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משעסקינן בירי מתוכנן בקפידה ולא בהתלהטות יצר רגעית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שאף בה יש חומרה</w:t>
      </w:r>
      <w:r>
        <w:rPr>
          <w:rFonts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rtl w:val="true"/>
        </w:rPr>
        <w:t>פשיטא שיש מקום להחמרה</w:t>
      </w:r>
      <w:r>
        <w:rPr>
          <w:rFonts w:cs="Arial TUR" w:ascii="Arial TUR" w:hAnsi="Arial TUR"/>
          <w:b/>
          <w:bCs/>
          <w:rtl w:val="true"/>
        </w:rPr>
        <w:t xml:space="preserve">".  </w:t>
      </w:r>
    </w:p>
    <w:p>
      <w:pPr>
        <w:pStyle w:val="Ruller51"/>
        <w:spacing w:lineRule="auto" w:line="360"/>
        <w:ind w:start="1125" w:end="1080"/>
        <w:jc w:val="both"/>
        <w:rPr>
          <w:rFonts w:ascii="Arial TUR" w:hAnsi="Arial TUR"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hanging="360" w:start="360" w:end="0"/>
        <w:jc w:val="start"/>
        <w:rPr>
          <w:b/>
          <w:bCs/>
        </w:rPr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האלימות חסרת הרסן והיד הקלה על ההדק</w:t>
      </w:r>
      <w:r>
        <w:rPr>
          <w:rtl w:val="true"/>
        </w:rPr>
        <w:t xml:space="preserve">, </w:t>
      </w:r>
      <w:r>
        <w:rPr>
          <w:rtl w:val="true"/>
        </w:rPr>
        <w:t>מחייבות ענישה מחמירה למען ביעור הנגע המזעזע והמסוכן</w:t>
      </w:r>
      <w:r>
        <w:rPr>
          <w:rtl w:val="true"/>
        </w:rPr>
        <w:t xml:space="preserve">, </w:t>
      </w:r>
      <w:r>
        <w:rPr>
          <w:rtl w:val="true"/>
        </w:rPr>
        <w:t>שבו אנו נתקלים חדשות לבקרים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 xml:space="preserve">בשורה ארוכה של פסקי דין חזרו וקראו בתי המשפט למיצוי הדין בדרך של הטלת עונשים מוחשיים ומרתיעים על מי שבוחר ליישב סכסוכים בדרך של שימוש בנשק חם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2546/05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עבדאללה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tl w:val="true"/>
        </w:rPr>
        <w:t xml:space="preserve"> – פסק</w:t>
      </w:r>
      <w:r>
        <w:rPr>
          <w:rtl w:val="true"/>
        </w:rPr>
        <w:t>-</w:t>
      </w:r>
      <w:r>
        <w:rPr>
          <w:rtl w:val="true"/>
        </w:rPr>
        <w:t xml:space="preserve">דין מיום </w:t>
      </w:r>
      <w:r>
        <w:rPr/>
        <w:t>12.1.06</w:t>
      </w:r>
      <w:r>
        <w:rPr>
          <w:rtl w:val="true"/>
        </w:rPr>
        <w:t xml:space="preserve">, </w:t>
      </w:r>
      <w:r>
        <w:rPr>
          <w:rtl w:val="true"/>
        </w:rPr>
        <w:t>שם התקבל ערעורה של המדינה והעונש הוחמר 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ו</w:t>
      </w:r>
      <w:hyperlink r:id="rId5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8746/02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שי חזות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ניתן ביום </w:t>
      </w:r>
      <w:r>
        <w:rPr/>
        <w:t>22.10.03</w:t>
      </w:r>
      <w:r>
        <w:rPr>
          <w:rtl w:val="true"/>
        </w:rPr>
        <w:t xml:space="preserve">, </w:t>
      </w:r>
      <w:r>
        <w:rPr>
          <w:rtl w:val="true"/>
        </w:rPr>
        <w:t>מדובר בפציעת מתלונן בדרך של ירי חץ מרובה דיג אשר נתקע בצווארו של המתלונן</w:t>
      </w:r>
      <w:r>
        <w:rPr>
          <w:rtl w:val="true"/>
        </w:rPr>
        <w:t xml:space="preserve">; </w:t>
      </w:r>
      <w:r>
        <w:rPr>
          <w:rtl w:val="true"/>
        </w:rPr>
        <w:t>שם הוחמר העונש ל</w:t>
      </w:r>
      <w:r>
        <w:rPr>
          <w:rtl w:val="true"/>
        </w:rPr>
        <w:t xml:space="preserve">-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 xml:space="preserve">לנגד עיננו עומדת גם פציעתו המשמעותית של המתלונן אשר הצריכה אשפוז ממושך בבית החולים </w:t>
      </w:r>
      <w:r>
        <w:rPr>
          <w:rtl w:val="true"/>
        </w:rPr>
        <w:t>(</w:t>
      </w:r>
      <w:r>
        <w:rPr>
          <w:rtl w:val="true"/>
        </w:rPr>
        <w:t>כפי שעולה מהתעודות הרפואיות שהוגשו</w:t>
      </w:r>
      <w:r>
        <w:rPr>
          <w:u w:val="single"/>
          <w:rtl w:val="true"/>
        </w:rPr>
        <w:t xml:space="preserve"> בהסכמה</w:t>
      </w:r>
      <w:r>
        <w:rPr>
          <w:rtl w:val="true"/>
        </w:rPr>
        <w:t xml:space="preserve"> על</w:t>
      </w:r>
      <w:r>
        <w:rPr>
          <w:rtl w:val="true"/>
        </w:rPr>
        <w:t>-</w:t>
      </w:r>
      <w:r>
        <w:rPr>
          <w:rtl w:val="true"/>
        </w:rPr>
        <w:t>ידי התביעה</w:t>
      </w:r>
      <w:r>
        <w:rPr>
          <w:rtl w:val="true"/>
        </w:rPr>
        <w:t>-</w:t>
      </w:r>
      <w:r>
        <w:rPr>
          <w:rtl w:val="true"/>
        </w:rPr>
        <w:t xml:space="preserve">מסמכים </w:t>
      </w:r>
      <w:r>
        <w:rPr/>
        <w:t>26-34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והותירה אותו משותק בפלג גופו התחתון</w:t>
      </w:r>
      <w:r>
        <w:rPr>
          <w:rtl w:val="true"/>
        </w:rPr>
        <w:t xml:space="preserve">. </w:t>
      </w:r>
      <w:r>
        <w:rPr>
          <w:rtl w:val="true"/>
        </w:rPr>
        <w:t>מתסקיר נפגע העבירה עולה</w:t>
      </w:r>
      <w:r>
        <w:rPr>
          <w:rtl w:val="true"/>
        </w:rPr>
        <w:t xml:space="preserve">, </w:t>
      </w:r>
      <w:r>
        <w:rPr>
          <w:rtl w:val="true"/>
        </w:rPr>
        <w:t>כי המתלונן שרוי במתח</w:t>
      </w:r>
      <w:r>
        <w:rPr>
          <w:rtl w:val="true"/>
        </w:rPr>
        <w:t xml:space="preserve">, </w:t>
      </w:r>
      <w:r>
        <w:rPr>
          <w:rtl w:val="true"/>
        </w:rPr>
        <w:t>פחד וחרדה</w:t>
      </w:r>
      <w:r>
        <w:rPr>
          <w:rtl w:val="true"/>
        </w:rPr>
        <w:t xml:space="preserve">. </w:t>
      </w:r>
      <w:r>
        <w:rPr>
          <w:rtl w:val="true"/>
        </w:rPr>
        <w:t>אין צורך בדמיון רב על מנת לתאר מה חש המתלונן אשר חייו השתנו באחת</w:t>
      </w:r>
      <w:r>
        <w:rPr>
          <w:rtl w:val="true"/>
        </w:rPr>
        <w:t xml:space="preserve">; </w:t>
      </w:r>
      <w:r>
        <w:rPr>
          <w:rtl w:val="true"/>
        </w:rPr>
        <w:t>מדובר בבחור צעיר שנותר נכה לצמיתות</w:t>
      </w:r>
      <w:r>
        <w:rPr>
          <w:rtl w:val="true"/>
        </w:rPr>
        <w:t xml:space="preserve">, </w:t>
      </w:r>
      <w:r>
        <w:rPr>
          <w:rtl w:val="true"/>
        </w:rPr>
        <w:t>התלוי בעזרתם של אחרים</w:t>
      </w:r>
      <w:r>
        <w:rPr>
          <w:rtl w:val="true"/>
        </w:rPr>
        <w:t xml:space="preserve">. </w:t>
      </w:r>
      <w:r>
        <w:rPr>
          <w:rtl w:val="true"/>
        </w:rPr>
        <w:t>למתלונן נגרם נזק בלתי הפיך אשר ילווה אותו לשארית ימי חייו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</w:rPr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ביצע בצוותא עבירה של חבלה בכוונה מחמירה ופגע במתלונן בירי ישיר לעברו</w:t>
      </w:r>
      <w:r>
        <w:rPr>
          <w:rtl w:val="true"/>
        </w:rPr>
        <w:t xml:space="preserve">. </w:t>
      </w:r>
      <w:r>
        <w:rPr>
          <w:rtl w:val="true"/>
        </w:rPr>
        <w:t>אין בידי לקבל את טענת ב</w:t>
      </w:r>
      <w:r>
        <w:rPr>
          <w:rtl w:val="true"/>
        </w:rPr>
        <w:t>"</w:t>
      </w:r>
      <w:r>
        <w:rPr>
          <w:rtl w:val="true"/>
        </w:rPr>
        <w:t>כ הנאשמים לפיה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זכאי ליהנות מהספק שמא הכדור שנורה על ידי האחר הוא זה שפגע במתלונן ולא הכדור שנורה על ידי נאשם </w:t>
      </w:r>
      <w:r>
        <w:rPr/>
        <w:t>1</w:t>
      </w:r>
      <w:r>
        <w:rPr>
          <w:rtl w:val="true"/>
        </w:rPr>
        <w:t>;</w:t>
      </w:r>
      <w:r>
        <w:rPr>
          <w:b/>
          <w:bCs/>
          <w:rtl w:val="true"/>
        </w:rPr>
        <w:t xml:space="preserve"> </w:t>
      </w:r>
      <w:r>
        <w:rPr>
          <w:rtl w:val="true"/>
        </w:rPr>
        <w:t>זה האחרון הודה בכתב האישום המתוקן</w:t>
      </w:r>
      <w:r>
        <w:rPr>
          <w:rtl w:val="true"/>
        </w:rPr>
        <w:t xml:space="preserve">, </w:t>
      </w:r>
      <w:r>
        <w:rPr>
          <w:rtl w:val="true"/>
        </w:rPr>
        <w:t>כי מעשיו שלו ושל האחר גרמו למתלונן חבלה חמורה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בכוונה להטיל בו נכות או מום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r>
        <w:rPr/>
        <w:t>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סייע לביצועה של עבירת החבלה בכוונה מחמירה</w:t>
      </w:r>
      <w:r>
        <w:rPr>
          <w:rtl w:val="true"/>
        </w:rPr>
        <w:t xml:space="preserve">. </w:t>
      </w:r>
      <w:r>
        <w:rPr>
          <w:rtl w:val="true"/>
        </w:rPr>
        <w:t xml:space="preserve">בנוסף הודה נאשם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והורשע בעבירות בנשק וירי באזור מגורים בצוותא</w:t>
      </w:r>
      <w:r>
        <w:rPr>
          <w:rtl w:val="true"/>
        </w:rPr>
        <w:t>. "</w:t>
      </w:r>
      <w:r>
        <w:rPr>
          <w:b/>
          <w:b/>
          <w:bCs/>
          <w:rtl w:val="true"/>
        </w:rPr>
        <w:t>המאפיין את 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מסייע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נעוץ בכך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שאין הוא נמנה בין אלה העושים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מעשה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של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ביצוע</w:t>
      </w:r>
      <w:r>
        <w:rPr>
          <w:b/>
          <w:bCs/>
          <w:rtl w:val="true"/>
        </w:rPr>
        <w:t xml:space="preserve">"; </w:t>
      </w:r>
      <w:r>
        <w:rPr>
          <w:b/>
          <w:b/>
          <w:bCs/>
          <w:rtl w:val="true"/>
        </w:rPr>
        <w:t xml:space="preserve">ותרומתו לביצוע העבירה מצטמצמת לעשיית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מעשה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של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סיוע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כמשמעותו בסעיף </w:t>
      </w:r>
      <w:r>
        <w:rPr>
          <w:b/>
          <w:bCs/>
        </w:rPr>
        <w:t>31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לתיקון</w:t>
      </w:r>
      <w:r>
        <w:rPr>
          <w:rtl w:val="true"/>
        </w:rPr>
        <w:t>" (</w:t>
      </w:r>
      <w:r>
        <w:rPr>
          <w:rtl w:val="true"/>
        </w:rPr>
        <w:t>רא</w:t>
      </w:r>
      <w:r>
        <w:rPr>
          <w:rtl w:val="true"/>
        </w:rPr>
        <w:t xml:space="preserve">: </w:t>
      </w:r>
      <w:r>
        <w:rPr>
          <w:rtl w:val="true"/>
        </w:rPr>
        <w:t>י</w:t>
      </w:r>
      <w:r>
        <w:rPr>
          <w:rtl w:val="true"/>
        </w:rPr>
        <w:t xml:space="preserve">' </w:t>
      </w:r>
      <w:hyperlink r:id="rId55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על הדין בפלילים</w:t>
        </w:r>
      </w:hyperlink>
      <w:r>
        <w:rPr>
          <w:rtl w:val="true"/>
        </w:rPr>
        <w:t xml:space="preserve"> </w:t>
      </w:r>
      <w:hyperlink r:id="rId5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חלק ראשון שם בעמ</w:t>
      </w:r>
      <w:r>
        <w:rPr>
          <w:rtl w:val="true"/>
        </w:rPr>
        <w:t xml:space="preserve">' </w:t>
      </w:r>
      <w:r>
        <w:rPr/>
        <w:t>380</w:t>
      </w:r>
      <w:r>
        <w:rPr>
          <w:rtl w:val="true"/>
        </w:rPr>
        <w:t xml:space="preserve">).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סייע ביצירת התנאים לביצוע עבירת החבלה בכוונה מחמירה ואף מילט את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 מזירת האירוע ברכבו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אין בידי לקבל את טענת ב</w:t>
      </w:r>
      <w:r>
        <w:rPr>
          <w:rtl w:val="true"/>
        </w:rPr>
        <w:t>"</w:t>
      </w:r>
      <w:r>
        <w:rPr>
          <w:rtl w:val="true"/>
        </w:rPr>
        <w:t>כ הנאשמים לפיה</w:t>
      </w:r>
      <w:r>
        <w:rPr>
          <w:rtl w:val="true"/>
        </w:rPr>
        <w:t xml:space="preserve">, </w:t>
      </w:r>
      <w:r>
        <w:rPr>
          <w:rtl w:val="true"/>
        </w:rPr>
        <w:t>יש להקל בעונשם של הנאשמים מאחר והמתלונן פגע כביכול בעבר בבן משפחתם של הנאשמים</w:t>
      </w:r>
      <w:r>
        <w:rPr>
          <w:rtl w:val="true"/>
        </w:rPr>
        <w:t xml:space="preserve">. </w:t>
      </w:r>
      <w:r>
        <w:rPr>
          <w:rtl w:val="true"/>
        </w:rPr>
        <w:t>מדובר בטענה בעלמא</w:t>
      </w:r>
      <w:r>
        <w:rPr>
          <w:rtl w:val="true"/>
        </w:rPr>
        <w:t xml:space="preserve">; </w:t>
      </w:r>
      <w:r>
        <w:rPr>
          <w:rtl w:val="true"/>
        </w:rPr>
        <w:t>בעניין זה לא הוגשה כל תלונה נגד המתלונן והוא לא הורשע בביצוע עבירה כלשהי</w:t>
      </w:r>
      <w:r>
        <w:rPr>
          <w:rtl w:val="true"/>
        </w:rPr>
        <w:t xml:space="preserve">;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בית המשפט אינו יכול לגלות הבנה לשימוש בנשק חם כדרך ליישוב סכסוכים גם אם בעבר פגע המתלונן במי מבני משפחת הנאשמים</w:t>
      </w:r>
      <w:r>
        <w:rPr>
          <w:rtl w:val="true"/>
        </w:rPr>
        <w:t xml:space="preserve">. </w:t>
      </w:r>
      <w:r>
        <w:rPr>
          <w:rtl w:val="true"/>
        </w:rPr>
        <w:t>חובה הייתה על הנאשמים לבחור בהתנהגות שהולמת חברה נורמטיבית ולא בדרך האלימה והאכזרית בה בחרו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בעת קביעת גזר דינו של נאשם</w:t>
      </w:r>
      <w:r>
        <w:rPr>
          <w:rtl w:val="true"/>
        </w:rPr>
        <w:t>, "</w:t>
      </w:r>
      <w:r>
        <w:rPr>
          <w:rtl w:val="true"/>
        </w:rPr>
        <w:t>על בית המשפט לתת למטרות הענישה השונות משקל יחסי ההולם את נסיבות המקרה המסוים ואת הנאשם המסוים שבפניו</w:t>
      </w:r>
      <w:r>
        <w:rPr>
          <w:rtl w:val="true"/>
        </w:rPr>
        <w:t xml:space="preserve">, </w:t>
      </w:r>
      <w:r>
        <w:rPr>
          <w:rtl w:val="true"/>
        </w:rPr>
        <w:t>ולאזן ביניהן</w:t>
      </w:r>
      <w:r>
        <w:rPr>
          <w:rtl w:val="true"/>
        </w:rPr>
        <w:t>" (</w:t>
      </w:r>
      <w:hyperlink r:id="rId5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5106/99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 xml:space="preserve">אבו 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ניג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מה 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במסגרת השיקולים לקולא</w:t>
      </w:r>
      <w:r>
        <w:rPr>
          <w:rtl w:val="true"/>
        </w:rPr>
        <w:t xml:space="preserve">, </w:t>
      </w:r>
      <w:r>
        <w:rPr>
          <w:rtl w:val="true"/>
        </w:rPr>
        <w:t xml:space="preserve">יש לזקוף לקולת עונשו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נסיבותיו האישיות</w:t>
      </w:r>
      <w:r>
        <w:rPr>
          <w:rtl w:val="true"/>
        </w:rPr>
        <w:t xml:space="preserve">; </w:t>
      </w:r>
      <w:r>
        <w:rPr>
          <w:rtl w:val="true"/>
        </w:rPr>
        <w:t xml:space="preserve">עברו הפלילי של נאשם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מש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אמנם עשיר עד מאוד אולם</w:t>
      </w:r>
      <w:r>
        <w:rPr>
          <w:rtl w:val="true"/>
        </w:rPr>
        <w:t xml:space="preserve">, </w:t>
      </w:r>
      <w:r>
        <w:rPr>
          <w:rtl w:val="true"/>
        </w:rPr>
        <w:t>מדובר בעבירות שהתיישנו זה מכבר</w:t>
      </w:r>
      <w:r>
        <w:rPr>
          <w:rtl w:val="true"/>
        </w:rPr>
        <w:t xml:space="preserve">, </w:t>
      </w:r>
      <w:r>
        <w:rPr>
          <w:rtl w:val="true"/>
        </w:rPr>
        <w:t>אך חרף זאת מותר לב</w:t>
      </w:r>
      <w:r>
        <w:rPr>
          <w:rtl w:val="true"/>
        </w:rPr>
        <w:t>"</w:t>
      </w:r>
      <w:r>
        <w:rPr>
          <w:rtl w:val="true"/>
        </w:rPr>
        <w:t>כ המאשימה להגיש את הרשעותיו לעיון בית המשפט</w:t>
      </w:r>
      <w:r>
        <w:rPr>
          <w:rtl w:val="true"/>
        </w:rPr>
        <w:t xml:space="preserve">; </w:t>
      </w:r>
      <w:r>
        <w:rPr>
          <w:rtl w:val="true"/>
        </w:rPr>
        <w:t>כפי שכבר נפסק</w:t>
      </w:r>
      <w:r>
        <w:rPr>
          <w:rtl w:val="true"/>
        </w:rPr>
        <w:t xml:space="preserve">, </w:t>
      </w:r>
      <w:r>
        <w:rPr>
          <w:rtl w:val="true"/>
        </w:rPr>
        <w:t xml:space="preserve">עיון בחוק המרשם הפלילי מראה כי תחולת </w:t>
      </w:r>
      <w:hyperlink r:id="rId5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(</w:t>
      </w:r>
      <w:r>
        <w:rPr>
          <w:rtl w:val="true"/>
        </w:rPr>
        <w:t>התיישנות הרשעה</w:t>
      </w:r>
      <w:r>
        <w:rPr>
          <w:rtl w:val="true"/>
        </w:rPr>
        <w:t xml:space="preserve">), </w:t>
      </w:r>
      <w:r>
        <w:rPr>
          <w:rtl w:val="true"/>
        </w:rPr>
        <w:t>הינה על מסירת מידע על</w:t>
      </w:r>
      <w:r>
        <w:rPr>
          <w:rtl w:val="true"/>
        </w:rPr>
        <w:t>-</w:t>
      </w:r>
      <w:r>
        <w:rPr>
          <w:rtl w:val="true"/>
        </w:rPr>
        <w:t xml:space="preserve">פי </w:t>
      </w:r>
      <w:hyperlink r:id="rId59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9-6</w:t>
        </w:r>
      </w:hyperlink>
      <w:r>
        <w:rPr>
          <w:rtl w:val="true"/>
        </w:rPr>
        <w:t xml:space="preserve"> </w:t>
      </w:r>
      <w:r>
        <w:rPr>
          <w:rtl w:val="true"/>
        </w:rPr>
        <w:t>לחוק בלבד</w:t>
      </w:r>
      <w:r>
        <w:rPr>
          <w:rtl w:val="true"/>
        </w:rPr>
        <w:t xml:space="preserve">, </w:t>
      </w:r>
      <w:r>
        <w:rPr>
          <w:rtl w:val="true"/>
        </w:rPr>
        <w:t xml:space="preserve">בעוד שלבתי המשפט נמסר המידע מכוח </w:t>
      </w:r>
      <w:hyperlink r:id="rId6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hyperlink r:id="rId6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1775/09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שלמה פדידה</w:t>
      </w:r>
      <w:r>
        <w:rPr>
          <w:rtl w:val="true"/>
        </w:rPr>
        <w:t xml:space="preserve"> נ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); </w:t>
      </w:r>
      <w:r>
        <w:rPr>
          <w:rtl w:val="true"/>
        </w:rPr>
        <w:t>מדובר בהרשעות ישנות שיש ליתן להן משקל נמוך יחסית</w:t>
      </w:r>
      <w:r>
        <w:rPr>
          <w:rtl w:val="true"/>
        </w:rPr>
        <w:t xml:space="preserve">. </w:t>
      </w:r>
      <w:r>
        <w:rPr>
          <w:rtl w:val="true"/>
        </w:rPr>
        <w:t xml:space="preserve">העובדה שנאשם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מכור לסמים</w:t>
      </w:r>
      <w:r>
        <w:rPr>
          <w:rtl w:val="true"/>
        </w:rPr>
        <w:t xml:space="preserve">, </w:t>
      </w:r>
      <w:r>
        <w:rPr>
          <w:rtl w:val="true"/>
        </w:rPr>
        <w:t>אינה יכולה להוות שיקול להקלה 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 xml:space="preserve">לקולת עונשו של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יש לזקוף את נסיבותיו האישיות</w:t>
      </w:r>
      <w:r>
        <w:rPr>
          <w:rtl w:val="true"/>
        </w:rPr>
        <w:t xml:space="preserve">, </w:t>
      </w:r>
      <w:r>
        <w:rPr>
          <w:rtl w:val="true"/>
        </w:rPr>
        <w:t xml:space="preserve">לרבות גילו הצעיר </w:t>
      </w:r>
      <w:r>
        <w:rPr>
          <w:rtl w:val="true"/>
        </w:rPr>
        <w:t>(</w:t>
      </w:r>
      <w:r>
        <w:rPr/>
        <w:t>29</w:t>
      </w:r>
      <w:r>
        <w:rPr>
          <w:rtl w:val="true"/>
        </w:rPr>
        <w:t xml:space="preserve">). </w:t>
      </w:r>
      <w:r>
        <w:rPr>
          <w:rtl w:val="true"/>
        </w:rPr>
        <w:t xml:space="preserve">עברו הפלילי של נאשם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מש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אינו מכביד</w:t>
      </w:r>
      <w:r>
        <w:rPr>
          <w:rtl w:val="true"/>
        </w:rPr>
        <w:t xml:space="preserve">; </w:t>
      </w:r>
      <w:r>
        <w:rPr>
          <w:rtl w:val="true"/>
        </w:rPr>
        <w:t>לחובתו שתי הרשעות בגין הפרעה לשוטר במילוי תפקידו ואיומים ובגין החזקה</w:t>
      </w:r>
      <w:r>
        <w:rPr>
          <w:rtl w:val="true"/>
        </w:rPr>
        <w:t>/</w:t>
      </w:r>
      <w:r>
        <w:rPr>
          <w:rtl w:val="true"/>
        </w:rPr>
        <w:t>שימוש בסמים לצריכה 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אין להתעלם מהודאתם של הנאשמים בכתב האישום המתוקן במסגרת הסדר הטיעון</w:t>
      </w:r>
      <w:r>
        <w:rPr>
          <w:rtl w:val="true"/>
        </w:rPr>
        <w:t xml:space="preserve">, </w:t>
      </w:r>
      <w:r>
        <w:rPr>
          <w:rtl w:val="true"/>
        </w:rPr>
        <w:t>אשר התקבלה אמנם לקראת סיום ההליך אך יחד עם זאת חסכה זמן שיפוטי יקר ומשאבים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90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חרף השיקולים לקולת עונשם של הנאשמים סבורני</w:t>
      </w:r>
      <w:r>
        <w:rPr>
          <w:rtl w:val="true"/>
        </w:rPr>
        <w:t xml:space="preserve">, </w:t>
      </w:r>
      <w:r>
        <w:rPr>
          <w:rtl w:val="true"/>
        </w:rPr>
        <w:t>כי אין אלה שיקולים שחייבים להטות את הכף לטובת העדפת האינטרס האישי של הנאשמים שעה שמנגד עומד אינטרס ציבורי כבד משקל של הגנה על ערך חיי אדם</w:t>
      </w:r>
      <w:r>
        <w:rPr>
          <w:rtl w:val="true"/>
        </w:rPr>
        <w:t xml:space="preserve">, </w:t>
      </w:r>
      <w:r>
        <w:rPr>
          <w:rtl w:val="true"/>
        </w:rPr>
        <w:t>הוקעה והטלת עונש הולם ומרתיע על כל מי שפוגע בקדושת עיקרון חיי אדם</w:t>
      </w:r>
      <w:r>
        <w:rPr>
          <w:rtl w:val="true"/>
        </w:rPr>
        <w:t xml:space="preserve">. </w:t>
      </w:r>
      <w:r>
        <w:rPr>
          <w:rtl w:val="true"/>
        </w:rPr>
        <w:t>כלל ידוע הוא</w:t>
      </w:r>
      <w:r>
        <w:rPr>
          <w:rtl w:val="true"/>
        </w:rPr>
        <w:t xml:space="preserve">, </w:t>
      </w:r>
      <w:r>
        <w:rPr>
          <w:rtl w:val="true"/>
        </w:rPr>
        <w:t>כי ככל שחומרת העבירה והצורך בהרתעה גוברים</w:t>
      </w:r>
      <w:r>
        <w:rPr>
          <w:rtl w:val="true"/>
        </w:rPr>
        <w:t xml:space="preserve">, </w:t>
      </w:r>
      <w:r>
        <w:rPr>
          <w:rtl w:val="true"/>
        </w:rPr>
        <w:t xml:space="preserve">פוחת משקלם של השיקולים האישיים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9896/09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פארס משאהרה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ניתן ביום </w:t>
      </w:r>
      <w:r>
        <w:rPr/>
        <w:t>03.05.2010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57" w:start="357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הענישה היא אינדיבידואלית ותלויה בנסיבותיו ותוצאותיו של כל מקרה ומקרה</w:t>
      </w:r>
      <w:r>
        <w:rPr>
          <w:rtl w:val="true"/>
        </w:rPr>
        <w:t xml:space="preserve">. </w:t>
      </w:r>
      <w:r>
        <w:rPr>
          <w:rtl w:val="true"/>
        </w:rPr>
        <w:t>גזרי הדין אליהם הפנה ב</w:t>
      </w:r>
      <w:r>
        <w:rPr>
          <w:rtl w:val="true"/>
        </w:rPr>
        <w:t>"</w:t>
      </w:r>
      <w:r>
        <w:rPr>
          <w:rtl w:val="true"/>
        </w:rPr>
        <w:t xml:space="preserve">כ הנאשמים מתייחסים לנסיבות הקונקרטיות באותם מקרים ואינם משקפים את מדיניות הענישה המחמירה כפי שנקבעה בפסיקתו העקבית של בית המשפט העליון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ב</w:t>
      </w:r>
      <w:hyperlink r:id="rId6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6163/09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קיאל קשאש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57" w:start="357" w:end="0"/>
        <w:jc w:val="start"/>
        <w:rPr/>
      </w:pPr>
      <w:r>
        <w:rPr/>
        <w:t>44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נוכח האמור לעיל</w:t>
      </w:r>
      <w:r>
        <w:rPr>
          <w:rtl w:val="true"/>
        </w:rPr>
        <w:t xml:space="preserve">, </w:t>
      </w:r>
      <w:r>
        <w:rPr>
          <w:rtl w:val="true"/>
        </w:rPr>
        <w:t>ולאחר ששקלתי את טיעוני הצדדים לקולא ולחומרה</w:t>
      </w:r>
      <w:r>
        <w:rPr>
          <w:rtl w:val="true"/>
        </w:rPr>
        <w:t xml:space="preserve">, </w:t>
      </w:r>
      <w:r>
        <w:rPr>
          <w:rtl w:val="true"/>
        </w:rPr>
        <w:t>הנני לגזור על הנאשמים את העונשים 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על  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Ruller41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Ruller41"/>
        <w:numPr>
          <w:ilvl w:val="2"/>
          <w:numId w:val="1"/>
        </w:numPr>
        <w:tabs>
          <w:tab w:val="clear" w:pos="720"/>
          <w:tab w:val="left" w:pos="1664" w:leader="none"/>
        </w:tabs>
        <w:ind w:hanging="2356" w:start="234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</w:rPr>
        <w:t>6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מעצרו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8.5.11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).</w:t>
      </w:r>
    </w:p>
    <w:p>
      <w:pPr>
        <w:pStyle w:val="Ruller41"/>
        <w:numPr>
          <w:ilvl w:val="2"/>
          <w:numId w:val="1"/>
        </w:numPr>
        <w:tabs>
          <w:tab w:val="clear" w:pos="720"/>
          <w:tab w:val="left" w:pos="824" w:leader="none"/>
        </w:tabs>
        <w:ind w:hanging="840" w:start="824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</w:rPr>
        <w:t>30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והתנאי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יעבור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במשך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שנתיים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שחרורו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פשע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</w:p>
    <w:p>
      <w:pPr>
        <w:pStyle w:val="Ruller41"/>
        <w:numPr>
          <w:ilvl w:val="2"/>
          <w:numId w:val="1"/>
        </w:numPr>
        <w:tabs>
          <w:tab w:val="clear" w:pos="720"/>
          <w:tab w:val="left" w:pos="824" w:leader="none"/>
        </w:tabs>
        <w:ind w:hanging="840" w:start="824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</w:rPr>
        <w:t>12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והתנאי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יעבור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במשך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שנתיים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שחרורו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hyperlink r:id="rId64"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</w:rPr>
          <w:t>144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</w:t>
      </w:r>
      <w:hyperlink r:id="rId65">
        <w:r>
          <w:rPr>
            <w:rStyle w:val="Hyperlink"/>
            <w:rFonts w:ascii="Times New Roman" w:hAnsi="Times New Roman" w:cs="David"/>
            <w:spacing w:val="0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spacing w:val="0"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  </w:t>
      </w:r>
    </w:p>
    <w:p>
      <w:pPr>
        <w:pStyle w:val="Ruller41"/>
        <w:numPr>
          <w:ilvl w:val="2"/>
          <w:numId w:val="1"/>
        </w:numPr>
        <w:tabs>
          <w:tab w:val="clear" w:pos="720"/>
          <w:tab w:val="left" w:pos="-16" w:leader="none"/>
          <w:tab w:val="left" w:pos="824" w:leader="none"/>
        </w:tabs>
        <w:ind w:hanging="840" w:start="824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תשלום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למתלונן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50,000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pacing w:val="0"/>
          <w:sz w:val="24"/>
          <w:szCs w:val="24"/>
          <w:rtl w:val="true"/>
        </w:rPr>
        <w:t>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סכום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ישולם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בשיעורים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חודשיים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שווים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ורצופים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1,000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pacing w:val="0"/>
          <w:sz w:val="24"/>
          <w:szCs w:val="24"/>
          <w:rtl w:val="true"/>
        </w:rPr>
        <w:t>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החל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1.8.12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;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ישולם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תשלום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במלואו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ובמועדו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תעמוד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יתרת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לפרעון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מיידי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David"/>
          <w:b/>
          <w:bCs/>
          <w:spacing w:val="0"/>
          <w:sz w:val="24"/>
          <w:szCs w:val="24"/>
          <w:u w:val="single"/>
        </w:rPr>
      </w:pPr>
      <w:r>
        <w:rPr>
          <w:rFonts w:cs="David" w:ascii="Times New Roman" w:hAnsi="Times New Roman"/>
          <w:b/>
          <w:bCs/>
          <w:spacing w:val="0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David"/>
          <w:b/>
          <w:bCs/>
          <w:spacing w:val="0"/>
          <w:sz w:val="24"/>
          <w:szCs w:val="24"/>
          <w:u w:val="single"/>
        </w:rPr>
      </w:pP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u w:val="single"/>
          <w:rtl w:val="true"/>
        </w:rPr>
        <w:t>על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u w:val="single"/>
          <w:rtl w:val="true"/>
        </w:rPr>
        <w:t>נאשם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 w:ascii="Times New Roman" w:hAnsi="Times New Roman"/>
          <w:b/>
          <w:bCs/>
          <w:spacing w:val="0"/>
          <w:sz w:val="24"/>
          <w:szCs w:val="24"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spacing w:val="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pacing w:val="0"/>
          <w:sz w:val="24"/>
          <w:szCs w:val="24"/>
          <w:u w:val="single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-16" w:leader="none"/>
        </w:tabs>
        <w:spacing w:lineRule="auto" w:line="360"/>
        <w:ind w:hanging="960" w:start="944" w:end="0"/>
        <w:jc w:val="start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, </w:t>
      </w:r>
      <w:r>
        <w:rPr>
          <w:rtl w:val="true"/>
        </w:rPr>
        <w:t xml:space="preserve">בניכוי ימי מעצרו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8.5.11</w:t>
      </w:r>
      <w:r>
        <w:rPr>
          <w:rtl w:val="true"/>
        </w:rPr>
        <w:t xml:space="preserve">).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4" w:leader="none"/>
        </w:tabs>
        <w:spacing w:lineRule="auto" w:line="360"/>
        <w:ind w:hanging="720" w:start="704" w:end="0"/>
        <w:jc w:val="start"/>
        <w:rPr/>
      </w:pPr>
      <w:r>
        <w:rPr/>
        <w:t>15</w:t>
      </w:r>
      <w:r>
        <w:rPr>
          <w:rtl w:val="true"/>
        </w:rPr>
        <w:t xml:space="preserve">  </w:t>
      </w:r>
      <w:r>
        <w:rPr>
          <w:rtl w:val="true"/>
        </w:rPr>
        <w:t>חודשי מאסר על תנאי והתנאי הוא שלא יעבור במשך שנתיים מיום שחרורו עבירת אלימות מסוג פשע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-16" w:leader="none"/>
        </w:tabs>
        <w:spacing w:lineRule="auto" w:line="360"/>
        <w:ind w:hanging="720" w:start="704" w:end="0"/>
        <w:jc w:val="start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שלא יעבור במשך שנתיים מיום שחרורו כל עבירת נשק לפי </w:t>
      </w:r>
      <w:hyperlink r:id="rId6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 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704" w:end="0"/>
        <w:jc w:val="start"/>
        <w:rPr/>
      </w:pPr>
      <w:r>
        <w:rPr>
          <w:rtl w:val="true"/>
        </w:rPr>
        <w:t xml:space="preserve">תשלום פיצוי למתלונן בסך </w:t>
      </w:r>
      <w:r>
        <w:rPr/>
        <w:t>25,000</w:t>
      </w:r>
      <w:r>
        <w:rPr>
          <w:rtl w:val="true"/>
        </w:rPr>
        <w:t xml:space="preserve"> ₪, </w:t>
      </w:r>
      <w:r>
        <w:rPr>
          <w:rtl w:val="true"/>
        </w:rPr>
        <w:t>סכום זה ישולם בשיעורים חודשיים</w:t>
      </w:r>
      <w:r>
        <w:rPr>
          <w:rtl w:val="true"/>
        </w:rPr>
        <w:t xml:space="preserve">, </w:t>
      </w:r>
      <w:r>
        <w:rPr>
          <w:rtl w:val="true"/>
        </w:rPr>
        <w:t xml:space="preserve">שווים ורצופים בסך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 xml:space="preserve">כל אחד החל מיום </w:t>
      </w:r>
      <w:r>
        <w:rPr/>
        <w:t>1.8.12</w:t>
      </w:r>
      <w:r>
        <w:rPr>
          <w:rtl w:val="true"/>
        </w:rPr>
        <w:t xml:space="preserve">; </w:t>
      </w:r>
      <w:r>
        <w:rPr>
          <w:rtl w:val="true"/>
        </w:rPr>
        <w:t>ככל שלא ישולם תשלום אחד במלואו ובמועדו</w:t>
      </w:r>
      <w:r>
        <w:rPr>
          <w:rtl w:val="true"/>
        </w:rPr>
        <w:t xml:space="preserve">, </w:t>
      </w:r>
      <w:r>
        <w:rPr>
          <w:rtl w:val="true"/>
        </w:rPr>
        <w:t>תעמוד כל יתרת הפיצוי לפרעון 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</w:r>
    </w:p>
    <w:p>
      <w:pPr>
        <w:pStyle w:val="Normal"/>
        <w:ind w:start="360" w:end="0"/>
        <w:jc w:val="start"/>
        <w:rPr/>
      </w:pPr>
      <w:r>
        <w:rPr>
          <w:rtl w:val="true"/>
        </w:rPr>
        <w:t xml:space="preserve">זכות ערעור לבית המשפט העליון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&lt;</w:t>
      </w:r>
      <w:r>
        <w:rPr/>
        <w:t>#6#</w:t>
      </w:r>
      <w:r>
        <w:rPr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 והודע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05/07/2012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תיק המוצגים מוחזר לידיה הנאמנות של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שאהר אטרש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שאהר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אטרש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68"/>
      <w:footerReference w:type="default" r:id="rId6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40489-05-11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תאופיק בן סאלח ביאטרה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b w:val="false"/>
        <w:bCs w:val="false"/>
        <w:lang w:val="en-US"/>
      </w:r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hebrew1"/>
      <w:lvlText w:val="%3."/>
      <w:lvlJc w:val="start"/>
      <w:pPr>
        <w:tabs>
          <w:tab w:val="num" w:pos="2340"/>
        </w:tabs>
        <w:ind w:start="234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lang w:val="en-US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65"/>
        </w:tabs>
        <w:ind w:start="765" w:hanging="405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lang w:val="en-US"/>
    </w:rPr>
  </w:style>
  <w:style w:type="character" w:styleId="WW8Num1z3">
    <w:name w:val="WW8Num1z3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8"/>
      <w:szCs w:val="28"/>
      <w:lang w:val="en-US" w:bidi="he-IL"/>
    </w:rPr>
  </w:style>
  <w:style w:type="character" w:styleId="Ruller5">
    <w:name w:val="Ruller5 תו"/>
    <w:qFormat/>
    <w:rPr>
      <w:rFonts w:ascii="Arial TUR" w:hAnsi="Arial TUR" w:cs="FrankRuehl"/>
      <w:spacing w:val="10"/>
      <w:sz w:val="28"/>
      <w:szCs w:val="28"/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Times New Roman" w:cs="FrankRuehl"/>
      <w:spacing w:val="10"/>
      <w:sz w:val="28"/>
      <w:szCs w:val="28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eastAsia="Times New Roman" w:cs="FrankRuehl"/>
      <w:spacing w:val="1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003" TargetMode="External"/><Relationship Id="rId3" Type="http://schemas.openxmlformats.org/officeDocument/2006/relationships/hyperlink" Target="http://www.nevo.co.il/safrut/bookgroup/400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329.a.1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/380" TargetMode="External"/><Relationship Id="rId14" Type="http://schemas.openxmlformats.org/officeDocument/2006/relationships/hyperlink" Target="http://www.nevo.co.il/law/70302" TargetMode="External"/><Relationship Id="rId15" Type="http://schemas.openxmlformats.org/officeDocument/2006/relationships/hyperlink" Target="http://www.nevo.co.il/law/70302/5" TargetMode="External"/><Relationship Id="rId16" Type="http://schemas.openxmlformats.org/officeDocument/2006/relationships/hyperlink" Target="http://www.nevo.co.il/law/70302/6" TargetMode="External"/><Relationship Id="rId17" Type="http://schemas.openxmlformats.org/officeDocument/2006/relationships/hyperlink" Target="http://www.nevo.co.il/law/70302/7" TargetMode="External"/><Relationship Id="rId18" Type="http://schemas.openxmlformats.org/officeDocument/2006/relationships/hyperlink" Target="http://www.nevo.co.il/law/70302/8" TargetMode="External"/><Relationship Id="rId19" Type="http://schemas.openxmlformats.org/officeDocument/2006/relationships/hyperlink" Target="http://www.nevo.co.il/law/70302/9" TargetMode="External"/><Relationship Id="rId20" Type="http://schemas.openxmlformats.org/officeDocument/2006/relationships/hyperlink" Target="http://www.nevo.co.il/law/70302/14" TargetMode="External"/><Relationship Id="rId21" Type="http://schemas.openxmlformats.org/officeDocument/2006/relationships/hyperlink" Target="http://www.nevo.co.il/law/70302/19" TargetMode="External"/><Relationship Id="rId22" Type="http://schemas.openxmlformats.org/officeDocument/2006/relationships/hyperlink" Target="http://www.nevo.co.il/law/72225" TargetMode="External"/><Relationship Id="rId23" Type="http://schemas.openxmlformats.org/officeDocument/2006/relationships/hyperlink" Target="http://www.nevo.co.il/law/70301/380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9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29.a.1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/144.b" TargetMode="External"/><Relationship Id="rId32" Type="http://schemas.openxmlformats.org/officeDocument/2006/relationships/hyperlink" Target="http://www.nevo.co.il/law/70301/29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40a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29.a.1" TargetMode="External"/><Relationship Id="rId38" Type="http://schemas.openxmlformats.org/officeDocument/2006/relationships/hyperlink" Target="http://www.nevo.co.il/law/70301/31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law/70301/144.b" TargetMode="External"/><Relationship Id="rId42" Type="http://schemas.openxmlformats.org/officeDocument/2006/relationships/hyperlink" Target="http://www.nevo.co.il/law/70301/29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340a" TargetMode="External"/><Relationship Id="rId45" Type="http://schemas.openxmlformats.org/officeDocument/2006/relationships/hyperlink" Target="http://www.nevo.co.il/law/70301/29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2/19" TargetMode="External"/><Relationship Id="rId48" Type="http://schemas.openxmlformats.org/officeDocument/2006/relationships/hyperlink" Target="http://www.nevo.co.il/law/70302" TargetMode="External"/><Relationship Id="rId49" Type="http://schemas.openxmlformats.org/officeDocument/2006/relationships/hyperlink" Target="http://www.nevo.co.il/case/5704670" TargetMode="External"/><Relationship Id="rId50" Type="http://schemas.openxmlformats.org/officeDocument/2006/relationships/hyperlink" Target="http://www.nevo.co.il/case/6030667" TargetMode="External"/><Relationship Id="rId51" Type="http://schemas.openxmlformats.org/officeDocument/2006/relationships/hyperlink" Target="http://www.nevo.co.il/case/5864075" TargetMode="External"/><Relationship Id="rId52" Type="http://schemas.openxmlformats.org/officeDocument/2006/relationships/hyperlink" Target="http://www.nevo.co.il/law/72225" TargetMode="External"/><Relationship Id="rId53" Type="http://schemas.openxmlformats.org/officeDocument/2006/relationships/hyperlink" Target="http://www.nevo.co.il/case/5840037" TargetMode="External"/><Relationship Id="rId54" Type="http://schemas.openxmlformats.org/officeDocument/2006/relationships/hyperlink" Target="http://www.nevo.co.il/case/6136832" TargetMode="External"/><Relationship Id="rId55" Type="http://schemas.openxmlformats.org/officeDocument/2006/relationships/hyperlink" Target="http://www.nevo.co.il/safrut/bookgroup/4003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5993616" TargetMode="External"/><Relationship Id="rId58" Type="http://schemas.openxmlformats.org/officeDocument/2006/relationships/hyperlink" Target="http://www.nevo.co.il/law/70302/14" TargetMode="External"/><Relationship Id="rId59" Type="http://schemas.openxmlformats.org/officeDocument/2006/relationships/hyperlink" Target="http://www.nevo.co.il/law/70302/6;7;8;9" TargetMode="External"/><Relationship Id="rId60" Type="http://schemas.openxmlformats.org/officeDocument/2006/relationships/hyperlink" Target="http://www.nevo.co.il/law/70302/5" TargetMode="External"/><Relationship Id="rId61" Type="http://schemas.openxmlformats.org/officeDocument/2006/relationships/hyperlink" Target="http://www.nevo.co.il/case/5790166" TargetMode="External"/><Relationship Id="rId62" Type="http://schemas.openxmlformats.org/officeDocument/2006/relationships/hyperlink" Target="http://www.nevo.co.il/case/6161424" TargetMode="External"/><Relationship Id="rId63" Type="http://schemas.openxmlformats.org/officeDocument/2006/relationships/hyperlink" Target="http://www.nevo.co.il/case/5704670" TargetMode="External"/><Relationship Id="rId64" Type="http://schemas.openxmlformats.org/officeDocument/2006/relationships/hyperlink" Target="http://www.nevo.co.il/law/70301/144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144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eader" Target="header1.xml"/><Relationship Id="rId69" Type="http://schemas.openxmlformats.org/officeDocument/2006/relationships/footer" Target="footer1.xml"/><Relationship Id="rId70" Type="http://schemas.openxmlformats.org/officeDocument/2006/relationships/numbering" Target="numbering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2022-09-07T11:04:00Z</dcterms:created>
  <dc:creator> </dc:creator>
  <dc:description/>
  <cp:keywords/>
  <dc:language>en-IL</dc:language>
  <cp:lastModifiedBy>h1</cp:lastModifiedBy>
  <dcterms:modified xsi:type="dcterms:W3CDTF">2022-09-07T11:04:00Z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תאופיק בן סאלח ביאטרה;סעיד בן עבד עבדאלעזיז</vt:lpwstr>
  </property>
  <property fmtid="{D5CDD505-2E9C-101B-9397-08002B2CF9AE}" pid="4" name="BOOKGROUPTMP1">
    <vt:lpwstr>4003:2</vt:lpwstr>
  </property>
  <property fmtid="{D5CDD505-2E9C-101B-9397-08002B2CF9AE}" pid="5" name="CASESLISTTMP1">
    <vt:lpwstr>5704670:2;6030667;5864075;5840037;6136832;5993616;5790166;6161424</vt:lpwstr>
  </property>
  <property fmtid="{D5CDD505-2E9C-101B-9397-08002B2CF9AE}" pid="6" name="CITY">
    <vt:lpwstr>נצ'</vt:lpwstr>
  </property>
  <property fmtid="{D5CDD505-2E9C-101B-9397-08002B2CF9AE}" pid="7" name="DATE">
    <vt:lpwstr>20120705</vt:lpwstr>
  </property>
  <property fmtid="{D5CDD505-2E9C-101B-9397-08002B2CF9AE}" pid="8" name="ISABSTRACT">
    <vt:lpwstr>Y</vt:lpwstr>
  </property>
  <property fmtid="{D5CDD505-2E9C-101B-9397-08002B2CF9AE}" pid="9" name="JUDGE">
    <vt:lpwstr>שאהר אטרש</vt:lpwstr>
  </property>
  <property fmtid="{D5CDD505-2E9C-101B-9397-08002B2CF9AE}" pid="10" name="LAWLISTTMP1">
    <vt:lpwstr>70301/380;192;329.a.1:2;029:5;144.a:2;144.b:2;340a:2;031;144:2</vt:lpwstr>
  </property>
  <property fmtid="{D5CDD505-2E9C-101B-9397-08002B2CF9AE}" pid="11" name="LAWLISTTMP2">
    <vt:lpwstr>70302/019;014;006;007;008;009;005</vt:lpwstr>
  </property>
  <property fmtid="{D5CDD505-2E9C-101B-9397-08002B2CF9AE}" pid="12" name="LAWLISTTMP3">
    <vt:lpwstr>72225</vt:lpwstr>
  </property>
  <property fmtid="{D5CDD505-2E9C-101B-9397-08002B2CF9AE}" pid="13" name="LAWYER">
    <vt:lpwstr>אורית קורין;טאהא אוסאמה</vt:lpwstr>
  </property>
  <property fmtid="{D5CDD505-2E9C-101B-9397-08002B2CF9AE}" pid="14" name="NEWPARTA">
    <vt:lpwstr>40489</vt:lpwstr>
  </property>
  <property fmtid="{D5CDD505-2E9C-101B-9397-08002B2CF9AE}" pid="15" name="NEWPARTB">
    <vt:lpwstr>05</vt:lpwstr>
  </property>
  <property fmtid="{D5CDD505-2E9C-101B-9397-08002B2CF9AE}" pid="16" name="NEWPARTC">
    <vt:lpwstr>11</vt:lpwstr>
  </property>
  <property fmtid="{D5CDD505-2E9C-101B-9397-08002B2CF9AE}" pid="17" name="NEWPROC">
    <vt:lpwstr>תפח</vt:lpwstr>
  </property>
  <property fmtid="{D5CDD505-2E9C-101B-9397-08002B2CF9AE}" pid="18" name="PSAKDIN">
    <vt:lpwstr>גזר-דין</vt:lpwstr>
  </property>
  <property fmtid="{D5CDD505-2E9C-101B-9397-08002B2CF9AE}" pid="19" name="TYPE">
    <vt:lpwstr>2</vt:lpwstr>
  </property>
  <property fmtid="{D5CDD505-2E9C-101B-9397-08002B2CF9AE}" pid="20" name="TYPE_ABS_DATE">
    <vt:lpwstr>390020120705</vt:lpwstr>
  </property>
  <property fmtid="{D5CDD505-2E9C-101B-9397-08002B2CF9AE}" pid="21" name="TYPE_N_DATE">
    <vt:lpwstr>39020120705</vt:lpwstr>
  </property>
  <property fmtid="{D5CDD505-2E9C-101B-9397-08002B2CF9AE}" pid="22" name="WORDNUMPAGES">
    <vt:lpwstr>10</vt:lpwstr>
  </property>
</Properties>
</file>