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5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81"/>
        <w:gridCol w:w="1003"/>
        <w:gridCol w:w="3220"/>
      </w:tblGrid>
      <w:tr>
        <w:trPr>
          <w:trHeight w:val="418" w:hRule="exact"/>
        </w:trPr>
        <w:tc>
          <w:tcPr>
            <w:tcW w:w="8504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42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4055-07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0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220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FirstAppellant"/>
      <w:bookmarkStart w:id="1" w:name="FirstAppellant"/>
      <w:bookmarkEnd w:id="1"/>
    </w:p>
    <w:tbl>
      <w:tblPr>
        <w:bidiVisual w:val="true"/>
        <w:tblW w:w="5000" w:type="pct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9"/>
        <w:gridCol w:w="5375"/>
      </w:tblGrid>
      <w:tr>
        <w:trPr/>
        <w:tc>
          <w:tcPr>
            <w:tcW w:w="3129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דינת ישראל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504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29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375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קאסם עלי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נשר ועו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איטסקו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רויטל בן שבת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באמצעות הליווי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</w:rPr>
      </w:pPr>
      <w:hyperlink r:id="rId2"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b/>
            <w:bCs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b/>
            <w:bCs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b/>
            <w:bCs/>
          </w:rPr>
          <w:t>77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b/>
            <w:bCs/>
          </w:rPr>
          <w:t>144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8">
        <w:r>
          <w:rPr>
            <w:rStyle w:val="Hyperlink"/>
            <w:rFonts w:eastAsia="David" w:cs="FrankRuehl" w:ascii="FrankRuehl" w:hAnsi="FrankRuehl"/>
            <w:b/>
            <w:bCs/>
          </w:rPr>
          <w:t>298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9">
        <w:r>
          <w:rPr>
            <w:rStyle w:val="Hyperlink"/>
            <w:rFonts w:eastAsia="David" w:cs="FrankRuehl" w:ascii="FrankRuehl" w:hAnsi="FrankRuehl"/>
            <w:b/>
            <w:bCs/>
          </w:rPr>
          <w:t>329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/>
            <w:bCs/>
          </w:rPr>
          <w:t>2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rtl w:val="true"/>
        </w:rPr>
        <w:t xml:space="preserve">, </w:t>
      </w:r>
      <w:hyperlink r:id="rId10">
        <w:r>
          <w:rPr>
            <w:rStyle w:val="Hyperlink"/>
            <w:rFonts w:eastAsia="David" w:cs="FrankRuehl" w:ascii="FrankRuehl" w:hAnsi="FrankRuehl"/>
            <w:b/>
            <w:bCs/>
          </w:rPr>
          <w:t>499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b/>
            <w:b/>
            <w:bCs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b/>
            <w:bCs/>
          </w:rPr>
          <w:t>1</w:t>
        </w:r>
        <w:r>
          <w:rPr>
            <w:rStyle w:val="Hyperlink"/>
            <w:rFonts w:eastAsia="David" w:cs="FrankRuehl" w:ascii="FrankRuehl" w:hAnsi="FrankRuehl"/>
            <w:b/>
            <w:bCs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 האישום המתוקן והסדר הטיעון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הודייתו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בביצוע העבירות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הריגה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+ </w:t>
      </w:r>
      <w:hyperlink r:id="rId12">
        <w:r>
          <w:rPr>
            <w:rStyle w:val="Hyperlink"/>
            <w:color w:val="0000FF"/>
            <w:u w:val="single"/>
          </w:rPr>
          <w:t>29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החוק</w:t>
      </w:r>
      <w:r>
        <w:rPr>
          <w:rtl w:val="true"/>
        </w:rPr>
        <w:t xml:space="preserve">]; </w:t>
      </w:r>
      <w:r>
        <w:rPr>
          <w:rtl w:val="true"/>
        </w:rPr>
        <w:t xml:space="preserve">חבלה בכוונה מחמירה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 </w:t>
      </w:r>
      <w:r>
        <w:rPr>
          <w:rtl w:val="true"/>
        </w:rPr>
        <w:t xml:space="preserve">עבירות בנשק לפי </w:t>
      </w:r>
      <w:hyperlink r:id="rId16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קשר לפשע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מכתב האישום המתוקן עולה כי הנאשם ביחד עם שלושת בני דודיו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האחרים</w:t>
      </w:r>
      <w:r>
        <w:rPr>
          <w:rtl w:val="true"/>
        </w:rPr>
        <w:t xml:space="preserve">), </w:t>
      </w:r>
      <w:r>
        <w:rPr>
          <w:rtl w:val="true"/>
        </w:rPr>
        <w:t>קשרו קשר לנקום במשפחת סוידאן</w:t>
      </w:r>
      <w:r>
        <w:rPr>
          <w:rtl w:val="true"/>
        </w:rPr>
        <w:t xml:space="preserve">, </w:t>
      </w:r>
      <w:r>
        <w:rPr>
          <w:rtl w:val="true"/>
        </w:rPr>
        <w:t>עקב סכסוך מתמשך בין שתי המשפחות ולאחר אירועי ירי</w:t>
      </w:r>
      <w:r>
        <w:rPr>
          <w:rtl w:val="true"/>
        </w:rPr>
        <w:t xml:space="preserve">, </w:t>
      </w:r>
      <w:r>
        <w:rPr>
          <w:rtl w:val="true"/>
        </w:rPr>
        <w:t xml:space="preserve">שהתרחשו ביום </w:t>
      </w:r>
      <w:r>
        <w:rPr/>
        <w:t>11.8.07</w:t>
      </w:r>
      <w:r>
        <w:rPr>
          <w:rtl w:val="true"/>
        </w:rPr>
        <w:t xml:space="preserve"> </w:t>
      </w:r>
      <w:r>
        <w:rPr>
          <w:rtl w:val="true"/>
        </w:rPr>
        <w:t>בעראמשה</w:t>
      </w:r>
      <w:r>
        <w:rPr>
          <w:rtl w:val="true"/>
        </w:rPr>
        <w:t xml:space="preserve">, </w:t>
      </w:r>
      <w:r>
        <w:rPr>
          <w:rtl w:val="true"/>
        </w:rPr>
        <w:t>בין משפחות מזעל ועלי לבין משפחת סוידאן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 הקשר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הנאשם והאחרים הצטיידו בשני אקדחים ובתחמושת לאקדחים וביום </w:t>
      </w:r>
      <w:r>
        <w:rPr/>
        <w:t>12.8.07</w:t>
      </w:r>
      <w:r>
        <w:rPr>
          <w:rtl w:val="true"/>
        </w:rPr>
        <w:t xml:space="preserve"> </w:t>
      </w:r>
      <w:r>
        <w:rPr>
          <w:rtl w:val="true"/>
        </w:rPr>
        <w:t>נסעו ברכב לאזור צומת שומרה וצומת גרנות</w:t>
      </w:r>
      <w:r>
        <w:rPr>
          <w:rtl w:val="true"/>
        </w:rPr>
        <w:t xml:space="preserve">, </w:t>
      </w:r>
      <w:r>
        <w:rPr>
          <w:rtl w:val="true"/>
        </w:rPr>
        <w:t>שם ארבו להגעת מי מבני משפחת סוידאן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למקום הגיע פארס סוידאן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כשהוא נוהג במכוניתו ועמו שני בניו</w:t>
      </w:r>
      <w:r>
        <w:rPr>
          <w:rtl w:val="true"/>
        </w:rPr>
        <w:t xml:space="preserve">, </w:t>
      </w:r>
      <w:r>
        <w:rPr>
          <w:rtl w:val="true"/>
        </w:rPr>
        <w:t>הנאשם והאחרים פתחו במרדף אחריהם ובירי לעברם</w:t>
      </w:r>
      <w:r>
        <w:rPr>
          <w:rtl w:val="true"/>
        </w:rPr>
        <w:t xml:space="preserve">. </w:t>
      </w:r>
      <w:r>
        <w:rPr>
          <w:rtl w:val="true"/>
        </w:rPr>
        <w:t>הנאשם ואחר ירו יריות רבות</w:t>
      </w:r>
      <w:r>
        <w:rPr>
          <w:rtl w:val="true"/>
        </w:rPr>
        <w:t xml:space="preserve">, </w:t>
      </w:r>
      <w:r>
        <w:rPr>
          <w:rtl w:val="true"/>
        </w:rPr>
        <w:t>לא פחות מ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יריות לעבר המנוח ובניו</w:t>
      </w:r>
      <w:r>
        <w:rPr>
          <w:rtl w:val="true"/>
        </w:rPr>
        <w:t xml:space="preserve">, </w:t>
      </w:r>
      <w:r>
        <w:rPr>
          <w:rtl w:val="true"/>
        </w:rPr>
        <w:t>במטרה לפגוע בהם ולגרום להם חבלה חמורה</w:t>
      </w:r>
      <w:r>
        <w:rPr>
          <w:rtl w:val="true"/>
        </w:rPr>
        <w:t xml:space="preserve">. </w:t>
      </w:r>
      <w:r>
        <w:rPr>
          <w:rtl w:val="true"/>
        </w:rPr>
        <w:t>הנאשם והאחרים המשיכו במרדף ובירי</w:t>
      </w:r>
      <w:r>
        <w:rPr>
          <w:rtl w:val="true"/>
        </w:rPr>
        <w:t xml:space="preserve">, </w:t>
      </w:r>
      <w:r>
        <w:rPr>
          <w:rtl w:val="true"/>
        </w:rPr>
        <w:t>גם לאחר שהמנוח נפגע ורכבו נעצר בצד הדרך  וגם בעת שעקפו אותו</w:t>
      </w:r>
      <w:r>
        <w:rPr>
          <w:rtl w:val="true"/>
        </w:rPr>
        <w:t xml:space="preserve">. </w:t>
      </w:r>
      <w:r>
        <w:rPr>
          <w:rtl w:val="true"/>
        </w:rPr>
        <w:t>לאחר מכן נמלטו ברכבם מהמקום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ארבעה מהכדורים שנורו פגעו במנוח</w:t>
      </w:r>
      <w:r>
        <w:rPr>
          <w:rtl w:val="true"/>
        </w:rPr>
        <w:t xml:space="preserve">, </w:t>
      </w:r>
      <w:r>
        <w:rPr>
          <w:rtl w:val="true"/>
        </w:rPr>
        <w:t>וגרמו למותו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מלכתחילה הועמד הנאשם לדין והואשם בביצוע עבירות רצח</w:t>
      </w:r>
      <w:r>
        <w:rPr>
          <w:rtl w:val="true"/>
        </w:rPr>
        <w:t xml:space="preserve">, </w:t>
      </w:r>
      <w:r>
        <w:rPr>
          <w:rtl w:val="true"/>
        </w:rPr>
        <w:t>ניסיון לרצח</w:t>
      </w:r>
      <w:r>
        <w:rPr>
          <w:rtl w:val="true"/>
        </w:rPr>
        <w:t xml:space="preserve">, </w:t>
      </w:r>
      <w:r>
        <w:rPr>
          <w:rtl w:val="true"/>
        </w:rPr>
        <w:t>עבירות בנשק וקשר לפשע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לאחר שנשמעו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עדי תביעה</w:t>
      </w:r>
      <w:r>
        <w:rPr>
          <w:rtl w:val="true"/>
        </w:rPr>
        <w:t xml:space="preserve">, </w:t>
      </w:r>
      <w:r>
        <w:rPr>
          <w:rtl w:val="true"/>
        </w:rPr>
        <w:t>מתוך כ</w:t>
      </w:r>
      <w:r>
        <w:rPr>
          <w:rtl w:val="true"/>
        </w:rPr>
        <w:t>-</w:t>
      </w:r>
      <w:r>
        <w:rPr/>
        <w:t>128</w:t>
      </w:r>
      <w:r>
        <w:rPr>
          <w:rtl w:val="true"/>
        </w:rPr>
        <w:t xml:space="preserve"> </w:t>
      </w:r>
      <w:r>
        <w:rPr>
          <w:rtl w:val="true"/>
        </w:rPr>
        <w:t>עדי תביעה הנכללים בכתב האישום</w:t>
      </w:r>
      <w:r>
        <w:rPr>
          <w:rtl w:val="true"/>
        </w:rPr>
        <w:t xml:space="preserve">, </w:t>
      </w:r>
      <w:r>
        <w:rPr>
          <w:rtl w:val="true"/>
        </w:rPr>
        <w:t>הצדדים הגיעו להסדר טיעון</w:t>
      </w:r>
      <w:r>
        <w:rPr>
          <w:rtl w:val="true"/>
        </w:rPr>
        <w:t xml:space="preserve">, </w:t>
      </w:r>
      <w:r>
        <w:rPr>
          <w:rtl w:val="true"/>
        </w:rPr>
        <w:t>במסגרתו הודה הנאשם בכתב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כפי שפורטו לעיל</w:t>
      </w:r>
      <w:r>
        <w:rPr>
          <w:rtl w:val="true"/>
        </w:rPr>
        <w:t xml:space="preserve">.  </w:t>
      </w:r>
      <w:r>
        <w:rPr>
          <w:rtl w:val="true"/>
        </w:rPr>
        <w:t>הסדר הטיעון כלל הסכמות כלהלן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  <w:tab/>
      </w:r>
      <w:r>
        <w:rPr>
          <w:rtl w:val="true"/>
        </w:rPr>
        <w:t xml:space="preserve">המאשימה תבקש לגזור על הנאשם מאסר בפועל לתקופה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שנים וההגנה תבקש  להסתפק במאסר בפועל לתקופה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הצדדים יבקשו לגזור על הנאשם מאסר על תנאי</w:t>
      </w:r>
      <w:r>
        <w:rPr>
          <w:rtl w:val="true"/>
        </w:rPr>
        <w:t xml:space="preserve">, </w:t>
      </w:r>
      <w:r>
        <w:rPr>
          <w:rtl w:val="true"/>
        </w:rPr>
        <w:t>שתנאיו ומשכו ייקבעו על ידי בית 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המאשימה תבקש לחייב את הנאשם לשלם לאלמנתו</w:t>
      </w:r>
      <w:r>
        <w:rPr>
          <w:rtl w:val="true"/>
        </w:rPr>
        <w:t xml:space="preserve">, </w:t>
      </w:r>
      <w:r>
        <w:rPr>
          <w:rtl w:val="true"/>
        </w:rPr>
        <w:t xml:space="preserve">לילדיו ולהוריו של המנוח פיצויים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לחוק והנאשם יתנגד לכך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לענין 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הגישה את גיליון הרשעותיו הקודמות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הפנתה לעבירות הקודמות שעבר הנאשם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ביניהן עבירות בנשק</w:t>
      </w:r>
      <w:r>
        <w:rPr>
          <w:rtl w:val="true"/>
        </w:rPr>
        <w:t xml:space="preserve">, </w:t>
      </w:r>
      <w:r>
        <w:rPr>
          <w:rtl w:val="true"/>
        </w:rPr>
        <w:t>ובעבירות אלימות כולל עבירת חבלה ופציעה</w:t>
      </w:r>
      <w:r>
        <w:rPr>
          <w:rtl w:val="true"/>
        </w:rPr>
        <w:t xml:space="preserve">. </w:t>
      </w:r>
      <w:r>
        <w:rPr>
          <w:rtl w:val="true"/>
        </w:rPr>
        <w:t>אליבא דהתביעה</w:t>
      </w:r>
      <w:r>
        <w:rPr>
          <w:rtl w:val="true"/>
        </w:rPr>
        <w:t xml:space="preserve">, </w:t>
      </w:r>
      <w:r>
        <w:rPr>
          <w:rtl w:val="true"/>
        </w:rPr>
        <w:t>מדובר באדם אלים המסוכן לציבור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התובעת ציינה כי עד לשלב מתקדם של המשפט</w:t>
      </w:r>
      <w:r>
        <w:rPr>
          <w:rtl w:val="true"/>
        </w:rPr>
        <w:t xml:space="preserve">, </w:t>
      </w:r>
      <w:r>
        <w:rPr>
          <w:rtl w:val="true"/>
        </w:rPr>
        <w:t>כפר הנאשם במיוחס לו ואף העלה טענת אליבי</w:t>
      </w:r>
      <w:r>
        <w:rPr>
          <w:rtl w:val="true"/>
        </w:rPr>
        <w:t xml:space="preserve">. </w:t>
      </w:r>
      <w:r>
        <w:rPr>
          <w:rtl w:val="true"/>
        </w:rPr>
        <w:t>היא הדגישה</w:t>
      </w:r>
      <w:r>
        <w:rPr>
          <w:rtl w:val="true"/>
        </w:rPr>
        <w:t xml:space="preserve">, </w:t>
      </w:r>
      <w:r>
        <w:rPr>
          <w:rtl w:val="true"/>
        </w:rPr>
        <w:t>כי התביעה הסכימה להסדר הטיעון</w:t>
      </w:r>
      <w:r>
        <w:rPr>
          <w:rtl w:val="true"/>
        </w:rPr>
        <w:t xml:space="preserve">, </w:t>
      </w:r>
      <w:r>
        <w:rPr>
          <w:rtl w:val="true"/>
        </w:rPr>
        <w:t>בשל קשיים ראייתיים והסיכון של הכרעות סותרות בשני המשפטים</w:t>
      </w:r>
      <w:r>
        <w:rPr>
          <w:rtl w:val="true"/>
        </w:rPr>
        <w:t xml:space="preserve">, </w:t>
      </w:r>
      <w:r>
        <w:rPr>
          <w:rtl w:val="true"/>
        </w:rPr>
        <w:t>המתנהלים בדפרשה הנדונה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ביקשה לגזור על הנאשם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מותנה ולהשית עליו פיצוי לטובת משפחת המנוח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ציינה את העונשים הכבדים הנקובים בכל אחת מהעבירות שבגינן הורשע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 טענה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העמיד בסכנת מוות את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נוסעי הרכב שלעברם כוונו מספר רב של יריות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התובעת ביקשה להתחשב לחומרא</w:t>
      </w:r>
      <w:r>
        <w:rPr>
          <w:rtl w:val="true"/>
        </w:rPr>
        <w:t xml:space="preserve">, </w:t>
      </w:r>
      <w:r>
        <w:rPr>
          <w:rtl w:val="true"/>
        </w:rPr>
        <w:t>בכך שהעבירות הנדונות בוצעו כמעשה נקמה שתוכנן מראש ב</w:t>
      </w:r>
      <w:r>
        <w:rPr>
          <w:rtl w:val="true"/>
        </w:rPr>
        <w:t>"</w:t>
      </w:r>
      <w:r>
        <w:rPr>
          <w:rtl w:val="true"/>
        </w:rPr>
        <w:t>מועצה משפחתית</w:t>
      </w:r>
      <w:r>
        <w:rPr>
          <w:rtl w:val="true"/>
        </w:rPr>
        <w:t xml:space="preserve">". </w:t>
      </w:r>
      <w:r>
        <w:rPr>
          <w:rtl w:val="true"/>
        </w:rPr>
        <w:t>נקמת הדם בוצעה אף שהנאשם ידע שמשטרת ישראל חוקרת את הירי שקדם למעשה הנקם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עוד הדגישה הפרקליטה</w:t>
      </w:r>
      <w:r>
        <w:rPr>
          <w:rtl w:val="true"/>
        </w:rPr>
        <w:t xml:space="preserve">, </w:t>
      </w:r>
      <w:r>
        <w:rPr>
          <w:rtl w:val="true"/>
        </w:rPr>
        <w:t>את שאר נסיבות האירוע</w:t>
      </w:r>
      <w:r>
        <w:rPr>
          <w:rtl w:val="true"/>
        </w:rPr>
        <w:t xml:space="preserve">, </w:t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אליבא דהתביעה</w:t>
      </w:r>
      <w:r>
        <w:rPr>
          <w:rtl w:val="true"/>
        </w:rPr>
        <w:t xml:space="preserve">, </w:t>
      </w:r>
      <w:r>
        <w:rPr>
          <w:rtl w:val="true"/>
        </w:rPr>
        <w:t>מדובר ב</w:t>
      </w:r>
      <w:r>
        <w:rPr>
          <w:rtl w:val="true"/>
        </w:rPr>
        <w:t>"</w:t>
      </w:r>
      <w:r>
        <w:rPr>
          <w:rtl w:val="true"/>
        </w:rPr>
        <w:t>רף העליון</w:t>
      </w:r>
      <w:r>
        <w:rPr>
          <w:rtl w:val="true"/>
        </w:rPr>
        <w:t xml:space="preserve">" </w:t>
      </w:r>
      <w:r>
        <w:rPr>
          <w:rtl w:val="true"/>
        </w:rPr>
        <w:t>של 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לפיכך יש לגזור על הנאשם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וכן להטיל עליו מאסר מותנה ופיצוי מרבי לאשתו</w:t>
      </w:r>
      <w:r>
        <w:rPr>
          <w:rtl w:val="true"/>
        </w:rPr>
        <w:t xml:space="preserve">, </w:t>
      </w:r>
      <w:r>
        <w:rPr>
          <w:rtl w:val="true"/>
        </w:rPr>
        <w:t>לילדיו ולהוריו של המנוח</w:t>
      </w:r>
      <w:r>
        <w:rPr>
          <w:rtl w:val="true"/>
        </w:rPr>
        <w:t xml:space="preserve">. </w:t>
      </w:r>
      <w:r>
        <w:rPr>
          <w:rtl w:val="true"/>
        </w:rPr>
        <w:t>מה גם שלעבירת ההריגה התלוו עבירות 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התובעת ציינה כי המנוח היה בן </w:t>
      </w:r>
      <w:r>
        <w:rPr/>
        <w:t>47</w:t>
      </w:r>
      <w:r>
        <w:rPr>
          <w:rtl w:val="true"/>
        </w:rPr>
        <w:t xml:space="preserve"> </w:t>
      </w:r>
      <w:r>
        <w:rPr>
          <w:rtl w:val="true"/>
        </w:rPr>
        <w:t>במותו</w:t>
      </w:r>
      <w:r>
        <w:rPr>
          <w:rtl w:val="true"/>
        </w:rPr>
        <w:t xml:space="preserve">, </w:t>
      </w:r>
      <w:r>
        <w:rPr>
          <w:rtl w:val="true"/>
        </w:rPr>
        <w:t>נשוי ואב לשלושה ילדים</w:t>
      </w:r>
      <w:r>
        <w:rPr>
          <w:rtl w:val="true"/>
        </w:rPr>
        <w:t xml:space="preserve">. </w:t>
      </w:r>
      <w:r>
        <w:rPr>
          <w:rtl w:val="true"/>
        </w:rPr>
        <w:t>הוא פרנס את משפחתו בכבוד ותמך גם בהוריו ואחיו</w:t>
      </w:r>
      <w:r>
        <w:rPr>
          <w:rtl w:val="true"/>
        </w:rPr>
        <w:t xml:space="preserve">. </w:t>
      </w:r>
      <w:r>
        <w:rPr>
          <w:rtl w:val="true"/>
        </w:rPr>
        <w:t>היא תארה את הסבל שעובר על משפחת המנוח ואת נזקיהם</w:t>
      </w:r>
      <w:r>
        <w:rPr>
          <w:rtl w:val="true"/>
        </w:rPr>
        <w:t xml:space="preserve">. </w:t>
      </w:r>
      <w:r>
        <w:rPr>
          <w:rtl w:val="true"/>
        </w:rPr>
        <w:t>היא הביאה לידיעתנו</w:t>
      </w:r>
      <w:r>
        <w:rPr>
          <w:rtl w:val="true"/>
        </w:rPr>
        <w:t xml:space="preserve">, </w:t>
      </w:r>
      <w:r>
        <w:rPr>
          <w:rtl w:val="true"/>
        </w:rPr>
        <w:t>כי עד היום לא נחתם הסכם סולחה בין משפחת המנוח למשפחת הנאשם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התכוונה להעיד את בני משפחת המנוח לעניין העונש</w:t>
      </w:r>
      <w:r>
        <w:rPr>
          <w:rtl w:val="true"/>
        </w:rPr>
        <w:t xml:space="preserve">, </w:t>
      </w:r>
      <w:r>
        <w:rPr>
          <w:rtl w:val="true"/>
        </w:rPr>
        <w:t>אולם אלו בחרו לא להתייצב לדיון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הביאה בפנינו פסיקה</w:t>
      </w:r>
      <w:r>
        <w:rPr>
          <w:rtl w:val="true"/>
        </w:rPr>
        <w:t xml:space="preserve">, </w:t>
      </w:r>
      <w:r>
        <w:rPr>
          <w:rtl w:val="true"/>
        </w:rPr>
        <w:t xml:space="preserve">בה הוטלו על נאשם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בגין עבירת הריגה וכן פסיקה</w:t>
      </w:r>
      <w:r>
        <w:rPr>
          <w:rtl w:val="true"/>
        </w:rPr>
        <w:t xml:space="preserve">, </w:t>
      </w:r>
      <w:r>
        <w:rPr>
          <w:rtl w:val="true"/>
        </w:rPr>
        <w:t>בה נצברו עונשים במקרים שבהם בנוסף לעבירת ההריגה</w:t>
      </w:r>
      <w:r>
        <w:rPr>
          <w:rtl w:val="true"/>
        </w:rPr>
        <w:t xml:space="preserve">, </w:t>
      </w:r>
      <w:r>
        <w:rPr>
          <w:rtl w:val="true"/>
        </w:rPr>
        <w:t>הורשע הנאשם בעבירות 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התובעת ביקשה גם להורות על פיצוי מכסימלי לכל אחד מבני משפחת המנוח</w:t>
      </w:r>
      <w:r>
        <w:rPr>
          <w:rtl w:val="true"/>
        </w:rPr>
        <w:t xml:space="preserve">, </w:t>
      </w:r>
      <w:r>
        <w:rPr>
          <w:rtl w:val="true"/>
        </w:rPr>
        <w:t>לאשתו של הנאשם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ילדיו והוריו</w:t>
      </w:r>
      <w:r>
        <w:rPr>
          <w:rtl w:val="true"/>
        </w:rPr>
        <w:t xml:space="preserve">. </w:t>
      </w:r>
      <w:r>
        <w:rPr>
          <w:rtl w:val="true"/>
        </w:rPr>
        <w:t>גם בהקשר זה הפנתה לפסיקה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עו</w:t>
      </w:r>
      <w:r>
        <w:rPr>
          <w:rtl w:val="true"/>
        </w:rPr>
        <w:t>"</w:t>
      </w:r>
      <w:r>
        <w:rPr>
          <w:rtl w:val="true"/>
        </w:rPr>
        <w:t>ד יפתח</w:t>
      </w:r>
      <w:r>
        <w:rPr>
          <w:rtl w:val="true"/>
        </w:rPr>
        <w:t xml:space="preserve">, </w:t>
      </w:r>
      <w:r>
        <w:rPr>
          <w:rtl w:val="true"/>
        </w:rPr>
        <w:t>עמד של הקשיים הראייתיים  שעלו במהלך שמיעת התיק  והדגיש כי נחסך זמן שיפוטי רב</w:t>
      </w:r>
      <w:r>
        <w:rPr>
          <w:rtl w:val="true"/>
        </w:rPr>
        <w:t xml:space="preserve">, </w:t>
      </w:r>
      <w:r>
        <w:rPr>
          <w:rtl w:val="true"/>
        </w:rPr>
        <w:t>בכך שההליכים לא נמשכו</w:t>
      </w:r>
      <w:r>
        <w:rPr>
          <w:rtl w:val="true"/>
        </w:rPr>
        <w:t xml:space="preserve">. </w:t>
      </w:r>
      <w:r>
        <w:rPr>
          <w:rtl w:val="true"/>
        </w:rPr>
        <w:t>הוא ביקש לזקוף לזכותו של הנאשם הן את החיסכון הניכר בזמן השיפוטי והן את נכונותו להודות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דווקא בשל סכסוך הדמים בין משפחת המנוח למשפחת הנאשם</w:t>
      </w:r>
      <w:r>
        <w:rPr>
          <w:rtl w:val="true"/>
        </w:rPr>
        <w:t xml:space="preserve">, </w:t>
      </w:r>
      <w:r>
        <w:rPr>
          <w:rtl w:val="true"/>
        </w:rPr>
        <w:t>קיימת חשיבות גדולה להודיית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הסנגור ציין</w:t>
      </w:r>
      <w:r>
        <w:rPr>
          <w:rtl w:val="true"/>
        </w:rPr>
        <w:t xml:space="preserve">, </w:t>
      </w:r>
      <w:r>
        <w:rPr>
          <w:rtl w:val="true"/>
        </w:rPr>
        <w:t>כי מעשי הנאשם בוצעו כתגובה לפציעת בן משפחתו בירי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משפחת 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 ציין עוד</w:t>
      </w:r>
      <w:r>
        <w:rPr>
          <w:rtl w:val="true"/>
        </w:rPr>
        <w:t xml:space="preserve">, </w:t>
      </w:r>
      <w:r>
        <w:rPr>
          <w:rtl w:val="true"/>
        </w:rPr>
        <w:t>כי סוכם בין הסנגוריה לתביעה</w:t>
      </w:r>
      <w:r>
        <w:rPr>
          <w:rtl w:val="true"/>
        </w:rPr>
        <w:t xml:space="preserve">, </w:t>
      </w:r>
      <w:r>
        <w:rPr>
          <w:rtl w:val="true"/>
        </w:rPr>
        <w:t>כי אם הנאשמים בתיק המקביל</w:t>
      </w:r>
      <w:r>
        <w:rPr>
          <w:rtl w:val="true"/>
        </w:rPr>
        <w:t xml:space="preserve">, </w:t>
      </w:r>
      <w:r>
        <w:rPr>
          <w:rtl w:val="true"/>
        </w:rPr>
        <w:t>יגיעו אף הם להסדר עם התביעה</w:t>
      </w:r>
      <w:r>
        <w:rPr>
          <w:rtl w:val="true"/>
        </w:rPr>
        <w:t xml:space="preserve">, </w:t>
      </w:r>
      <w:r>
        <w:rPr>
          <w:rtl w:val="true"/>
        </w:rPr>
        <w:t>אזי התביעה תסתפק 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בנסיבות שכאלו</w:t>
      </w:r>
      <w:r>
        <w:rPr>
          <w:rtl w:val="true"/>
        </w:rPr>
        <w:t xml:space="preserve">, </w:t>
      </w:r>
      <w:r>
        <w:rPr>
          <w:rtl w:val="true"/>
        </w:rPr>
        <w:t>אליבא דהסניגור</w:t>
      </w:r>
      <w:r>
        <w:rPr>
          <w:rtl w:val="true"/>
        </w:rPr>
        <w:t xml:space="preserve">, </w:t>
      </w:r>
      <w:r>
        <w:rPr>
          <w:rtl w:val="true"/>
        </w:rPr>
        <w:t>ההגינות מחייבת להסתפק 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הביא לידיעתנו כי מרשו הנו בן כ</w:t>
      </w:r>
      <w:r>
        <w:rPr>
          <w:rtl w:val="true"/>
        </w:rPr>
        <w:t>-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נשוי ואב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 קטינים</w:t>
      </w:r>
      <w:r>
        <w:rPr>
          <w:rtl w:val="true"/>
        </w:rPr>
        <w:t xml:space="preserve">, </w:t>
      </w:r>
      <w:r>
        <w:rPr>
          <w:rtl w:val="true"/>
        </w:rPr>
        <w:t>שהגדול בהם הנו בן 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הנאשם שירת בצה</w:t>
      </w:r>
      <w:r>
        <w:rPr>
          <w:rtl w:val="true"/>
        </w:rPr>
        <w:t>"</w:t>
      </w:r>
      <w:r>
        <w:rPr>
          <w:rtl w:val="true"/>
        </w:rPr>
        <w:t>ל וכך גם אחיו</w:t>
      </w:r>
      <w:r>
        <w:rPr>
          <w:rtl w:val="true"/>
        </w:rPr>
        <w:t xml:space="preserve">. </w:t>
      </w:r>
      <w:r>
        <w:rPr>
          <w:rtl w:val="true"/>
        </w:rPr>
        <w:t>אביו קיבל אות הצטיינות 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יפתח</w:t>
      </w:r>
      <w:r>
        <w:rPr>
          <w:rtl w:val="true"/>
        </w:rPr>
        <w:t xml:space="preserve">, </w:t>
      </w:r>
      <w:r>
        <w:rPr>
          <w:rtl w:val="true"/>
        </w:rPr>
        <w:t>ביקש שלא להשית על מרשו פיצויים</w:t>
      </w:r>
      <w:r>
        <w:rPr>
          <w:rtl w:val="true"/>
        </w:rPr>
        <w:t xml:space="preserve">, </w:t>
      </w:r>
      <w:r>
        <w:rPr>
          <w:rtl w:val="true"/>
        </w:rPr>
        <w:t>הן בשל מצבה הכלכלי של המשפחה והן בשל כך שהמדובר ב</w:t>
      </w:r>
      <w:r>
        <w:rPr>
          <w:rtl w:val="true"/>
        </w:rPr>
        <w:t>"</w:t>
      </w:r>
      <w:r>
        <w:rPr>
          <w:rtl w:val="true"/>
        </w:rPr>
        <w:t>עונש</w:t>
      </w:r>
      <w:r>
        <w:rPr>
          <w:rtl w:val="true"/>
        </w:rPr>
        <w:t xml:space="preserve">"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שרק ירע את היחסים בין המשפחות</w:t>
      </w:r>
      <w:r>
        <w:rPr>
          <w:rtl w:val="true"/>
        </w:rPr>
        <w:t xml:space="preserve">. </w:t>
      </w:r>
      <w:r>
        <w:rPr>
          <w:rtl w:val="true"/>
        </w:rPr>
        <w:t>לדעת הסנגור</w:t>
      </w:r>
      <w:r>
        <w:rPr>
          <w:rtl w:val="true"/>
        </w:rPr>
        <w:t xml:space="preserve">, </w:t>
      </w:r>
      <w:r>
        <w:rPr>
          <w:rtl w:val="true"/>
        </w:rPr>
        <w:t>כיוון שגם בן משפחת הנאשם נפגע מירי</w:t>
      </w:r>
      <w:r>
        <w:rPr>
          <w:rtl w:val="true"/>
        </w:rPr>
        <w:t xml:space="preserve">, </w:t>
      </w:r>
      <w:r>
        <w:rPr>
          <w:rtl w:val="true"/>
        </w:rPr>
        <w:t>אזי נושא הפיצוי צריך להיות מוסדר בהסכם סולחה בין שתי המשפחות</w:t>
      </w:r>
      <w:r>
        <w:rPr>
          <w:rtl w:val="true"/>
        </w:rPr>
        <w:t xml:space="preserve">.  </w:t>
      </w:r>
      <w:r>
        <w:rPr>
          <w:rtl w:val="true"/>
        </w:rPr>
        <w:t>עוד לדבריו</w:t>
      </w:r>
      <w:r>
        <w:rPr>
          <w:rtl w:val="true"/>
        </w:rPr>
        <w:t xml:space="preserve">, </w:t>
      </w:r>
      <w:r>
        <w:rPr>
          <w:rtl w:val="true"/>
        </w:rPr>
        <w:t>יש להביא בחשבון כי למעשים שותפים שלושה 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שרמן שטען אף הוא לעניין העונש</w:t>
      </w:r>
      <w:r>
        <w:rPr>
          <w:rtl w:val="true"/>
        </w:rPr>
        <w:t xml:space="preserve">, </w:t>
      </w:r>
      <w:r>
        <w:rPr>
          <w:rtl w:val="true"/>
        </w:rPr>
        <w:t>הדגיש את הקשיים הראייתיים בתיק זה וגרס</w:t>
      </w:r>
      <w:r>
        <w:rPr>
          <w:rtl w:val="true"/>
        </w:rPr>
        <w:t xml:space="preserve">, </w:t>
      </w:r>
      <w:r>
        <w:rPr>
          <w:rtl w:val="true"/>
        </w:rPr>
        <w:t>כי אין ראיה לכך שדווקא הכדורים שירה המנוח</w:t>
      </w:r>
      <w:r>
        <w:rPr>
          <w:rtl w:val="true"/>
        </w:rPr>
        <w:t xml:space="preserve">, </w:t>
      </w:r>
      <w:r>
        <w:rPr>
          <w:rtl w:val="true"/>
        </w:rPr>
        <w:t>הם אלו שפגעו במנוח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להתחשב לקולא</w:t>
      </w:r>
      <w:r>
        <w:rPr>
          <w:rtl w:val="true"/>
        </w:rPr>
        <w:t xml:space="preserve">, </w:t>
      </w:r>
      <w:r>
        <w:rPr>
          <w:rtl w:val="true"/>
        </w:rPr>
        <w:t>בכך שמלכתחילה יוחסה לנאשם העבירה החמורה ביותר של רצח ורק לאחר שמיעת ראיות במספר רב של ישיבות</w:t>
      </w:r>
      <w:r>
        <w:rPr>
          <w:rtl w:val="true"/>
        </w:rPr>
        <w:t xml:space="preserve">, </w:t>
      </w:r>
      <w:r>
        <w:rPr>
          <w:rtl w:val="true"/>
        </w:rPr>
        <w:t>הסכימה התביעה</w:t>
      </w:r>
      <w:r>
        <w:rPr>
          <w:rtl w:val="true"/>
        </w:rPr>
        <w:t xml:space="preserve">, </w:t>
      </w:r>
      <w:r>
        <w:rPr>
          <w:rtl w:val="true"/>
        </w:rPr>
        <w:t>בשל הקשיים הראייתיים</w:t>
      </w:r>
      <w:r>
        <w:rPr>
          <w:rtl w:val="true"/>
        </w:rPr>
        <w:t xml:space="preserve">, </w:t>
      </w:r>
      <w:r>
        <w:rPr>
          <w:rtl w:val="true"/>
        </w:rPr>
        <w:t>להסתפק בהרשעת הנאשם בעבירת הריגה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הסנגור ציין כי  עברו הפלילי של הנאשם בעיקרו</w:t>
      </w:r>
      <w:r>
        <w:rPr>
          <w:rtl w:val="true"/>
        </w:rPr>
        <w:t xml:space="preserve">, </w:t>
      </w:r>
      <w:r>
        <w:rPr>
          <w:rtl w:val="true"/>
        </w:rPr>
        <w:t>הוא מלפני שנים רבות</w:t>
      </w:r>
      <w:r>
        <w:rPr>
          <w:rtl w:val="true"/>
        </w:rPr>
        <w:t xml:space="preserve">, </w:t>
      </w:r>
      <w:r>
        <w:rPr>
          <w:rtl w:val="true"/>
        </w:rPr>
        <w:t>וכנלמד מהעונשים שנגזרו על הנאשם בגין עבירות מהשנים האחרונות</w:t>
      </w:r>
      <w:r>
        <w:rPr>
          <w:rtl w:val="true"/>
        </w:rPr>
        <w:t xml:space="preserve">, </w:t>
      </w:r>
      <w:r>
        <w:rPr>
          <w:rtl w:val="true"/>
        </w:rPr>
        <w:t>מדובר בנסיבות קלות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אליבא דהסניגור</w:t>
      </w:r>
      <w:r>
        <w:rPr>
          <w:rtl w:val="true"/>
        </w:rPr>
        <w:t xml:space="preserve">, </w:t>
      </w:r>
      <w:r>
        <w:rPr>
          <w:rtl w:val="true"/>
        </w:rPr>
        <w:t>פסיקת פיצוי גבוה לטובת משפחת הנאשם</w:t>
      </w:r>
      <w:r>
        <w:rPr>
          <w:rtl w:val="true"/>
        </w:rPr>
        <w:t xml:space="preserve">, </w:t>
      </w:r>
      <w:r>
        <w:rPr>
          <w:rtl w:val="true"/>
        </w:rPr>
        <w:t>תסתום את הגולל על אפשרות לסולחה בין המשפחות</w:t>
      </w:r>
      <w:r>
        <w:rPr>
          <w:rtl w:val="true"/>
        </w:rPr>
        <w:t xml:space="preserve">. 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ראוי לדעתו לפסוק פיצוי של </w:t>
      </w:r>
      <w:r>
        <w:rPr/>
        <w:t>20,000</w:t>
      </w:r>
      <w:r>
        <w:rPr>
          <w:rtl w:val="true"/>
        </w:rPr>
        <w:t xml:space="preserve"> ₪ - </w:t>
      </w:r>
      <w:r>
        <w:rPr/>
        <w:t>15,000</w:t>
      </w:r>
      <w:r>
        <w:rPr>
          <w:rtl w:val="true"/>
        </w:rPr>
        <w:t xml:space="preserve"> ₪, </w:t>
      </w:r>
      <w:r>
        <w:rPr>
          <w:rtl w:val="true"/>
        </w:rPr>
        <w:t>כמקובל במקרים מעין 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 ב</w:t>
      </w:r>
      <w:r>
        <w:rPr>
          <w:rtl w:val="true"/>
        </w:rPr>
        <w:t>"</w:t>
      </w:r>
      <w:r>
        <w:rPr>
          <w:rtl w:val="true"/>
        </w:rPr>
        <w:t>דברו האחרון</w:t>
      </w:r>
      <w:r>
        <w:rPr>
          <w:rtl w:val="true"/>
        </w:rPr>
        <w:t xml:space="preserve">" </w:t>
      </w:r>
      <w:r>
        <w:rPr>
          <w:rtl w:val="true"/>
        </w:rPr>
        <w:t>הביע את צערו ורצונו לעריכת סולחה עם משפחת 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 xml:space="preserve">דיון וגזירת הדין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מעשיו של הנאשם חמורים ונוראים</w:t>
      </w:r>
      <w:r>
        <w:rPr>
          <w:rtl w:val="true"/>
        </w:rPr>
        <w:t xml:space="preserve">. </w:t>
      </w:r>
      <w:r>
        <w:rPr>
          <w:rtl w:val="true"/>
        </w:rPr>
        <w:t>מדובר בנקמת דם</w:t>
      </w:r>
      <w:r>
        <w:rPr>
          <w:rtl w:val="true"/>
        </w:rPr>
        <w:t xml:space="preserve">, </w:t>
      </w:r>
      <w:r>
        <w:rPr>
          <w:rtl w:val="true"/>
        </w:rPr>
        <w:t xml:space="preserve">כשכל </w:t>
      </w:r>
      <w:r>
        <w:rPr>
          <w:rtl w:val="true"/>
        </w:rPr>
        <w:t>"</w:t>
      </w:r>
      <w:r>
        <w:rPr>
          <w:rtl w:val="true"/>
        </w:rPr>
        <w:t>חטאו</w:t>
      </w:r>
      <w:r>
        <w:rPr>
          <w:rtl w:val="true"/>
        </w:rPr>
        <w:t xml:space="preserve">" </w:t>
      </w:r>
      <w:r>
        <w:rPr>
          <w:rtl w:val="true"/>
        </w:rPr>
        <w:t>של המנוח נעוץ בעובדה שקיים סכסוך דמים בין משפחתו לבין משפחת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קטל חיי אדם  צעיר</w:t>
      </w:r>
      <w:r>
        <w:rPr>
          <w:rtl w:val="true"/>
        </w:rPr>
        <w:t xml:space="preserve">, </w:t>
      </w:r>
      <w:r>
        <w:rPr>
          <w:rtl w:val="true"/>
        </w:rPr>
        <w:t>בן להורים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 ובן זוגה של אישה</w:t>
      </w:r>
      <w:r>
        <w:rPr>
          <w:rtl w:val="true"/>
        </w:rPr>
        <w:t xml:space="preserve">. </w:t>
      </w:r>
      <w:r>
        <w:rPr>
          <w:rtl w:val="true"/>
        </w:rPr>
        <w:t>לא זאת אף זאת</w:t>
      </w:r>
      <w:r>
        <w:rPr>
          <w:rtl w:val="true"/>
        </w:rPr>
        <w:t xml:space="preserve">, </w:t>
      </w:r>
      <w:r>
        <w:rPr>
          <w:rtl w:val="true"/>
        </w:rPr>
        <w:t>במעשיו הנלוזים העמיד הנאשם בסיכון רב את חייהם של אנשים 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מעבר לאמור לעיל</w:t>
      </w:r>
      <w:r>
        <w:rPr>
          <w:rtl w:val="true"/>
        </w:rPr>
        <w:t xml:space="preserve">, </w:t>
      </w:r>
      <w:r>
        <w:rPr>
          <w:rtl w:val="true"/>
        </w:rPr>
        <w:t>אין צורך להכביר מילים על חומרת המעשים</w:t>
      </w:r>
      <w:r>
        <w:rPr>
          <w:rtl w:val="true"/>
        </w:rPr>
        <w:t xml:space="preserve">, </w:t>
      </w:r>
      <w:r>
        <w:rPr>
          <w:rtl w:val="true"/>
        </w:rPr>
        <w:t>שכן תיאור העובדות בכתב האישום המתוקן מדבר בעד 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לחובתו של הנאשם  הרשעות פליליות קודמות</w:t>
      </w:r>
      <w:r>
        <w:rPr>
          <w:rtl w:val="true"/>
        </w:rPr>
        <w:t xml:space="preserve">, </w:t>
      </w:r>
      <w:r>
        <w:rPr>
          <w:rtl w:val="true"/>
        </w:rPr>
        <w:t>כולל  בגין עבירות אלימות</w:t>
      </w:r>
      <w:r>
        <w:rPr>
          <w:rtl w:val="true"/>
        </w:rPr>
        <w:t xml:space="preserve">. </w:t>
      </w:r>
      <w:r>
        <w:rPr>
          <w:rtl w:val="true"/>
        </w:rPr>
        <w:t>נראה כי איננו בוחל בדרכים אלימות ל</w:t>
      </w:r>
      <w:r>
        <w:rPr>
          <w:rtl w:val="true"/>
        </w:rPr>
        <w:t>"</w:t>
      </w:r>
      <w:r>
        <w:rPr>
          <w:rtl w:val="true"/>
        </w:rPr>
        <w:t>ישוב</w:t>
      </w:r>
      <w:r>
        <w:rPr>
          <w:rtl w:val="true"/>
        </w:rPr>
        <w:t xml:space="preserve">" </w:t>
      </w:r>
      <w:r>
        <w:rPr>
          <w:rtl w:val="true"/>
        </w:rPr>
        <w:t>סכסוכיו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שקלנו לקולא את הודיית הנאשם במיוחס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בהודייתו חסך זמן שיפוטי ניכר</w:t>
      </w:r>
      <w:r>
        <w:rPr>
          <w:rtl w:val="true"/>
        </w:rPr>
        <w:t xml:space="preserve">, </w:t>
      </w:r>
      <w:r>
        <w:rPr>
          <w:rtl w:val="true"/>
        </w:rPr>
        <w:t>שכן שמיעת המשפט עד תום הייתה צפויה להימשך עוד תקופה ממושכת מאוד</w:t>
      </w:r>
      <w:r>
        <w:rPr>
          <w:rtl w:val="true"/>
        </w:rPr>
        <w:t xml:space="preserve">. </w:t>
      </w:r>
      <w:r>
        <w:rPr>
          <w:rtl w:val="true"/>
        </w:rPr>
        <w:t>הובא לידיעתנו והתביעה לא חלקה על כך</w:t>
      </w:r>
      <w:r>
        <w:rPr>
          <w:rtl w:val="true"/>
        </w:rPr>
        <w:t xml:space="preserve">, </w:t>
      </w:r>
      <w:r>
        <w:rPr>
          <w:rtl w:val="true"/>
        </w:rPr>
        <w:t>שהנאשם היה מוכן להגיע להסדר דומה  עוד בשלבים מוקדמים של הדיון</w:t>
      </w:r>
      <w:r>
        <w:rPr>
          <w:rtl w:val="true"/>
        </w:rPr>
        <w:t xml:space="preserve">.  </w:t>
      </w:r>
      <w:r>
        <w:rPr>
          <w:rtl w:val="true"/>
        </w:rPr>
        <w:t xml:space="preserve">כמו כן נתחשב לקולא בחרטתו של הנאשם ובהסכמתו לשאת עונש ממשי של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עוד נייחס לזכותו של הנאשם את עינויי הדין שעברו עליו</w:t>
      </w:r>
      <w:r>
        <w:rPr>
          <w:rtl w:val="true"/>
        </w:rPr>
        <w:t xml:space="preserve">, </w:t>
      </w:r>
      <w:r>
        <w:rPr>
          <w:rtl w:val="true"/>
        </w:rPr>
        <w:t xml:space="preserve">החל מהשלב שהתביעה חזרה בה מהסכמתה העקרונית להסדר הטיעון ועד החלטתה הנוספת לאשר את הסדר הטיעון </w:t>
      </w:r>
      <w:r>
        <w:rPr>
          <w:rtl w:val="true"/>
        </w:rPr>
        <w:t>(</w:t>
      </w:r>
      <w:r>
        <w:rPr>
          <w:rtl w:val="true"/>
        </w:rPr>
        <w:t xml:space="preserve">בעניין זה נפנה להחלטתנו מיום </w:t>
      </w:r>
      <w:r>
        <w:rPr/>
        <w:t>18/2/09</w:t>
      </w:r>
      <w:r>
        <w:rPr>
          <w:rtl w:val="true"/>
        </w:rPr>
        <w:t xml:space="preserve">) </w:t>
      </w:r>
      <w:r>
        <w:rPr>
          <w:rtl w:val="true"/>
        </w:rPr>
        <w:t xml:space="preserve">ועד </w:t>
      </w:r>
      <w:r>
        <w:rPr>
          <w:rFonts w:ascii="Times New Roman" w:hAnsi="Times New Roman" w:cs="Times New Roman"/>
          <w:rtl w:val="true"/>
        </w:rPr>
        <w:t xml:space="preserve"> להחלטת בג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צ בעתירה שהגישה  משפחת המנוח נגד הסדר הטיעון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>.</w:t>
        <w:tab/>
        <w:t xml:space="preserve"> </w:t>
      </w:r>
      <w:r>
        <w:rPr>
          <w:rFonts w:ascii="Times New Roman" w:hAnsi="Times New Roman" w:cs="Times New Roman"/>
          <w:rtl w:val="true"/>
        </w:rPr>
        <w:t>עוד עמדה לנגד עינינו הסכמת התביעה בזמנו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להסתפק בעונש של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 אם האחרים יודו אף הם במשפט המקביל המתנהל נגדם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>.</w:t>
        <w:tab/>
        <w:t xml:space="preserve"> </w:t>
      </w:r>
      <w:r>
        <w:rPr>
          <w:rFonts w:ascii="Times New Roman" w:hAnsi="Times New Roman" w:cs="Times New Roman"/>
          <w:rtl w:val="true"/>
        </w:rPr>
        <w:t>בהתחשב בכל הנסיבות לחומרה ולקולא ולאחר ששיווינו לנגד עינינו את כל טענות הצדדים הננו מחליטים לגזור על הנאשם 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מאסר בפועל למשך </w:t>
      </w: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החל מיום מעצרו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16/8/07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שתי שנות מאסר על תנאי למשך שלוש 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לבל יעבור עבירת אלימות מסוג פשע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</w:r>
      <w:r>
        <w:rPr>
          <w:rFonts w:ascii="Times New Roman" w:hAnsi="Times New Roman" w:cs="Times New Roman"/>
          <w:rtl w:val="true"/>
        </w:rPr>
        <w:t xml:space="preserve">או עבירות בנשק לפי </w:t>
      </w:r>
      <w:hyperlink r:id="rId2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144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לחוק 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כמו כן אנו  מטילים על הנאשם לפצות את עיזבון המנוח בסך </w:t>
      </w:r>
      <w:r>
        <w:rPr>
          <w:rFonts w:cs="Times New Roman" w:ascii="Times New Roman" w:hAnsi="Times New Roman"/>
        </w:rPr>
        <w:t>120,000</w:t>
      </w:r>
      <w:r>
        <w:rPr>
          <w:rFonts w:cs="Times New Roman" w:ascii="Times New Roman" w:hAnsi="Times New Roman"/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אין באמור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כמובן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כדי לפגוע בזכות הנפגעים מלהגיש תביעה אזרחית נגד הנאשם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בהחלטתנו זו לקחנו בחשבון את העובדה שהנאשם פעל בצוותא חדא עם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כעולה מעובדות כתב האישום המתוקן וכי לא הובאו בפנינו ראיות לעניין  נזק </w:t>
      </w:r>
      <w:r>
        <w:rPr>
          <w:rFonts w:ascii="Times New Roman" w:hAnsi="Times New Roman" w:cs="Times New Roman"/>
          <w:b/>
          <w:b/>
          <w:bCs/>
          <w:rtl w:val="true"/>
        </w:rPr>
        <w:t>ספציפי</w:t>
      </w:r>
      <w:r>
        <w:rPr>
          <w:rFonts w:ascii="Times New Roman" w:hAnsi="Times New Roman" w:cs="Times New Roman"/>
          <w:rtl w:val="true"/>
        </w:rPr>
        <w:t xml:space="preserve">  שנגרם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זכות ערעור לביהמ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ש העליון תוך </w:t>
      </w:r>
      <w:r>
        <w:rPr>
          <w:rFonts w:cs="Times New Roman" w:ascii="Times New Roman" w:hAnsi="Times New Roman"/>
        </w:rPr>
        <w:t>45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יום מהיום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#12#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 xml:space="preserve">ניתן והודע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ו סיון 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  <w:sz w:val="28"/>
          <w:szCs w:val="28"/>
        </w:rPr>
        <w:t>18/06/2009</w:t>
      </w:r>
      <w:r>
        <w:rPr>
          <w:vanish/>
          <w:highlight w:val="yellow"/>
          <w:rtl w:val="true"/>
        </w:rPr>
        <w:t>&gt;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סגן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חני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הורוביץ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צילה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קינן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אבקש לבטל את כל הדיונים העתידיים</w:t>
      </w:r>
      <w:r>
        <w:rPr>
          <w:rtl w:val="true"/>
        </w:rPr>
        <w:t xml:space="preserve">. </w:t>
      </w:r>
      <w:r>
        <w:rPr>
          <w:rtl w:val="true"/>
        </w:rPr>
        <w:t>אני מבקשת שהתשלום ישולם בעוד כמה חודשים וכן אני מבקשת לחלק את הפיצוי למספר 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מתנגדת לבקשה לדחיית מועד תשלום הפיצויים</w:t>
      </w:r>
      <w:r>
        <w:rPr>
          <w:rtl w:val="true"/>
        </w:rPr>
        <w:t xml:space="preserve">. </w:t>
      </w:r>
      <w:r>
        <w:rPr>
          <w:rtl w:val="true"/>
        </w:rPr>
        <w:t>יש לשמוע לענין זה את עמדת העזבון</w:t>
      </w:r>
      <w:r>
        <w:rPr>
          <w:rtl w:val="true"/>
        </w:rPr>
        <w:t xml:space="preserve">. </w:t>
      </w:r>
      <w:r>
        <w:rPr>
          <w:rtl w:val="true"/>
        </w:rPr>
        <w:t>אין מקום לבקשה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לפחות לדחות לתקופה שיש לנו את הזמן להגיש את הערעור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כל הדיונים העתידיים שנקבעו בתיק זה </w:t>
      </w:r>
      <w:r>
        <w:rPr>
          <w:rtl w:val="true"/>
        </w:rPr>
        <w:t>–</w:t>
      </w:r>
      <w:r>
        <w:rPr>
          <w:rtl w:val="true"/>
        </w:rPr>
        <w:t xml:space="preserve"> בטלים וזימונו של הנאשם לדיונים בטל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תפעל לביטול הזימונים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ניתנת ארכה בת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לנאשם לשלם את הפיצוי לעזבון המנוח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ניתנה והודעה היום כ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ו סיון 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Cs/>
          <w:sz w:val="28"/>
          <w:szCs w:val="28"/>
        </w:rPr>
        <w:t>18/06/2009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במעמד הנוכחים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10260" w:type="dxa"/>
        <w:jc w:val="start"/>
        <w:tblInd w:w="-10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סגן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FrankRuehl"/>
                <w:rtl w:val="true"/>
              </w:rPr>
              <w:t>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חני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הורוביץ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34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צילה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קינן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FrankRuehl" w:ascii="Times New Roman" w:hAnsi="Times New Roman"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FrankRuehl"/>
                <w:rtl w:val="true"/>
              </w:rPr>
              <w:t>שופטת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Times New Roman" w:hAnsi="Times New Roman" w:eastAsia="Times New Roman" w:cs="FrankRuehl"/>
              </w:rPr>
            </w:pPr>
            <w:r>
              <w:rPr>
                <w:rFonts w:eastAsia="Times New Roman" w:cs="FrankRuehl" w:ascii="Times New Roman" w:hAnsi="Times New Roman"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  <w:bookmarkStart w:id="12" w:name="LastJudge"/>
      <w:bookmarkStart w:id="13" w:name="LastJudge"/>
      <w:bookmarkEnd w:id="13"/>
    </w:p>
    <w:p>
      <w:pPr>
        <w:pStyle w:val="Normal"/>
        <w:keepNext w:val="tru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color w:val="000000"/>
          <w:sz w:val="22"/>
          <w:sz w:val="22"/>
          <w:szCs w:val="22"/>
          <w:rtl w:val="true"/>
        </w:rPr>
        <w:t xml:space="preserve">חני הורוביץ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firstLine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firstLine="720"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דנינו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  <w:r>
        <w:rPr>
          <w:color w:val="000000"/>
          <w:sz w:val="28"/>
          <w:sz w:val="28"/>
          <w:szCs w:val="28"/>
          <w:rtl w:val="true"/>
        </w:rPr>
        <w:t xml:space="preserve"> 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/Users/liorb/Downloads/study2025-p2/ME-07-4055-733.doc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4055-07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קאסם עלי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055-07"/>
    <w:docVar w:name="caseId" w:val="7230102"/>
    <w:docVar w:name="deriveClass" w:val="NGCS.Protocol.BL.Client.ProtocolBLClientCriminal"/>
    <w:docVar w:name="firstPageNumber" w:val="1188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370176"/>
    <w:docVar w:name="releaseSign" w:val="0"/>
    <w:docVar w:name="sittingDateTime" w:val="18/06/2009 14:30     "/>
    <w:docVar w:name="sittingId" w:val="1561565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77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2016-08-15T15:59:00Z</dcterms:created>
  <dc:creator> </dc:creator>
  <dc:description/>
  <cp:keywords/>
  <dc:language>en-IL</dc:language>
  <cp:lastModifiedBy>run</cp:lastModifiedBy>
  <cp:lastPrinted>2009-06-18T16:54:00Z</cp:lastPrinted>
  <dcterms:modified xsi:type="dcterms:W3CDTF">2016-08-15T15:59:00Z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קאסם עלי</vt:lpwstr>
  </property>
  <property fmtid="{D5CDD505-2E9C-101B-9397-08002B2CF9AE}" pid="4" name="CITY">
    <vt:lpwstr>חי'</vt:lpwstr>
  </property>
  <property fmtid="{D5CDD505-2E9C-101B-9397-08002B2CF9AE}" pid="5" name="DATE">
    <vt:lpwstr>20090618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חני הורוביץ;צילה קינן;אילן שיף</vt:lpwstr>
  </property>
  <property fmtid="{D5CDD505-2E9C-101B-9397-08002B2CF9AE}" pid="9" name="LAWLISTTMP1">
    <vt:lpwstr>70301/298;029:3;329.a.2;144.a;144.b;499.a.1;077;144</vt:lpwstr>
  </property>
  <property fmtid="{D5CDD505-2E9C-101B-9397-08002B2CF9AE}" pid="10" name="LAWYER">
    <vt:lpwstr>נשר;איטסקו;רויטל בן שבת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4055</vt:lpwstr>
  </property>
  <property fmtid="{D5CDD505-2E9C-101B-9397-08002B2CF9AE}" pid="24" name="NEWPARTB">
    <vt:lpwstr/>
  </property>
  <property fmtid="{D5CDD505-2E9C-101B-9397-08002B2CF9AE}" pid="25" name="NEWPARTC">
    <vt:lpwstr>07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4055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390020090618</vt:lpwstr>
  </property>
  <property fmtid="{D5CDD505-2E9C-101B-9397-08002B2CF9AE}" pid="36" name="TYPE_N_DATE">
    <vt:lpwstr>39020090618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