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spacing w:lineRule="auto" w:line="360" w:before="0" w:after="160"/>
              <w:ind w:end="0"/>
              <w:jc w:val="start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תפ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rtl w:val="true"/>
              </w:rPr>
              <w:t>ח</w:t>
            </w:r>
            <w:r>
              <w:rPr>
                <w:rFonts w:eastAsia="Calibri" w:cs="Calibri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</w:rPr>
              <w:t>41585-03-16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מדינת</w:t>
            </w:r>
            <w:r>
              <w:rPr>
                <w:rFonts w:eastAsia="Calibri" w:cs="Calibri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ישראל</w:t>
            </w:r>
            <w:r>
              <w:rPr>
                <w:rFonts w:eastAsia="Calibri" w:cs="Calibri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נ</w:t>
            </w:r>
            <w:r>
              <w:rPr>
                <w:rFonts w:cs="David"/>
                <w:b/>
                <w:bCs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rtl w:val="true"/>
              </w:rPr>
              <w:t>היב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מרץ </w:t>
            </w:r>
            <w:r>
              <w:rPr>
                <w:b/>
                <w:bCs/>
              </w:rPr>
              <w:t>2017</w:t>
            </w:r>
          </w:p>
        </w:tc>
      </w:tr>
    </w:tbl>
    <w:p>
      <w:pPr>
        <w:pStyle w:val="Header"/>
        <w:spacing w:lineRule="auto" w:line="360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</w:p>
    <w:tbl>
      <w:tblPr>
        <w:bidiVisual w:val="true"/>
        <w:tblW w:w="872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75"/>
        <w:gridCol w:w="58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86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pacing w:lineRule="auto" w:line="360" w:before="0" w:after="0"/>
              <w:jc w:val="end"/>
              <w:rPr>
                <w:rFonts w:cs="David"/>
              </w:rPr>
            </w:pP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אסתר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David" w:ascii="Times New Roman" w:hAnsi="Times New Roman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ס</w:t>
            </w:r>
            <w:r>
              <w:rPr>
                <w:rFonts w:cs="David" w:ascii="Times New Roman" w:hAnsi="Times New Roman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נשיא</w:t>
            </w:r>
            <w:r>
              <w:rPr>
                <w:rFonts w:cs="David" w:ascii="Times New Roman" w:hAnsi="Times New Roman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אב</w:t>
            </w:r>
            <w:r>
              <w:rPr>
                <w:rFonts w:cs="David" w:ascii="Times New Roman" w:hAnsi="Times New Roman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</w:rPr>
              <w:t xml:space="preserve"> </w:t>
            </w:r>
          </w:p>
          <w:p>
            <w:pPr>
              <w:pStyle w:val="Normal"/>
              <w:bidi w:val="0"/>
              <w:spacing w:lineRule="auto" w:line="360" w:before="0" w:after="0"/>
              <w:jc w:val="end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יפעת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שטרית</w:t>
            </w:r>
          </w:p>
          <w:p>
            <w:pPr>
              <w:pStyle w:val="Normal"/>
              <w:bidi w:val="0"/>
              <w:spacing w:lineRule="auto" w:line="360" w:before="0" w:after="0"/>
              <w:jc w:val="end"/>
              <w:rPr>
                <w:rFonts w:ascii="Times New Roman" w:hAnsi="Times New Roman" w:cs="David"/>
                <w:sz w:val="24"/>
                <w:szCs w:val="24"/>
              </w:rPr>
            </w:pP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סאאב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דבור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</w:rPr>
              <w:t xml:space="preserve">  </w:t>
            </w:r>
          </w:p>
        </w:tc>
      </w:tr>
      <w:tr>
        <w:trPr>
          <w:trHeight w:val="352" w:hRule="atLeast"/>
          <w:cantSplit w:val="true"/>
        </w:trPr>
        <w:tc>
          <w:tcPr>
            <w:tcW w:w="285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pacing w:lineRule="exact" w:line="240" w:before="240" w:after="240"/>
              <w:ind w:start="26" w:end="0"/>
              <w:jc w:val="end"/>
              <w:rPr>
                <w:rFonts w:ascii="Times New Roman" w:hAnsi="Times New Roman" w:cs="David"/>
                <w:b/>
                <w:bCs/>
                <w:sz w:val="24"/>
                <w:szCs w:val="24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</w:p>
        </w:tc>
        <w:tc>
          <w:tcPr>
            <w:tcW w:w="58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pacing w:lineRule="exact" w:line="240" w:before="240" w:after="240"/>
              <w:jc w:val="end"/>
              <w:rPr>
                <w:rFonts w:ascii="Times New Roman" w:hAnsi="Times New Roman" w:cs="David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</w:tc>
      </w:tr>
      <w:tr>
        <w:trPr/>
        <w:tc>
          <w:tcPr>
            <w:tcW w:w="8720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bidi w:val="0"/>
              <w:spacing w:lineRule="exact" w:line="240" w:before="240" w:after="240"/>
              <w:ind w:start="110" w:end="0"/>
              <w:jc w:val="center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ascii="Arial" w:hAnsi="Arial" w:cs="David"/>
                <w:b/>
                <w:b/>
                <w:bCs/>
                <w:sz w:val="24"/>
                <w:sz w:val="24"/>
                <w:szCs w:val="24"/>
                <w:rtl w:val="true"/>
              </w:rPr>
              <w:t>נגד</w:t>
            </w:r>
          </w:p>
        </w:tc>
      </w:tr>
      <w:tr>
        <w:trPr/>
        <w:tc>
          <w:tcPr>
            <w:tcW w:w="285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pacing w:lineRule="exact" w:line="240" w:before="240" w:after="240"/>
              <w:ind w:start="26" w:end="0"/>
              <w:jc w:val="end"/>
              <w:rPr>
                <w:rFonts w:cs="David"/>
              </w:rPr>
            </w:pP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</w:rPr>
              <w:t xml:space="preserve"> </w:t>
            </w:r>
          </w:p>
        </w:tc>
        <w:tc>
          <w:tcPr>
            <w:tcW w:w="58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pacing w:lineRule="exact" w:line="240" w:before="240" w:after="240"/>
              <w:jc w:val="end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מועאד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עלי</w:t>
            </w:r>
            <w:r>
              <w:rPr>
                <w:rFonts w:ascii="Times New Roman" w:hAnsi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הייב</w:t>
            </w:r>
          </w:p>
        </w:tc>
      </w:tr>
    </w:tbl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  <w:tab/>
      </w:r>
      <w:bookmarkStart w:id="2" w:name="FirstLawyer"/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בשם</w:t>
      </w:r>
      <w:bookmarkEnd w:id="2"/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המאשימה עו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 מייסא זועבי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ab/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הנאשם עו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 ראיד עומרי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מטעם הסניגוריה הציבורית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ab/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בעצמו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הובא על ידי הליווי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24"/>
          <w:szCs w:val="24"/>
        </w:rPr>
      </w:pPr>
      <w:r>
        <w:rPr>
          <w:rFonts w:cs="FrankRuehl" w:ascii="FrankRuehl" w:hAnsi="FrankRuehl"/>
          <w:b/>
          <w:bCs/>
          <w:sz w:val="24"/>
          <w:szCs w:val="24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5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פסילה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מלקבל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רישיון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למתלוננים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בנוסף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לעונשים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שהושתו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חילוט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הרכב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באמצעותו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בוצעה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משנמצא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הרכב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ישיר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כולן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הודאתו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ובמסגרת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מתוקן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שעניינן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נשיאה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והובלה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יריות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מגורים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הסתייעות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פשע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רישיון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נהיגה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רישיון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רכב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פוליסת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ביטוח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תוקף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כלהלן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בגיר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מחייבת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לעיקרון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המנחה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וקביעת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המתאים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המתחם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יוצאי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דופן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לסטות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בהסתמך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לחומרא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שלום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הציבור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במספר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המהוות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לגביהן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החברתי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שנפגע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הנהוגה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ובנסיבות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התופעה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לפתרון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סכסוכים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מיוחסת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לאותם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השימוש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נעשה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שטח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עירוני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ובסביבת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מגורים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בנסיבותיו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4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z w:val="24"/>
          <w:szCs w:val="26"/>
        </w:rPr>
        <w:t>7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 w:before="0" w:after="0"/>
        <w:ind w:end="0"/>
        <w:jc w:val="center"/>
        <w:rPr>
          <w:rFonts w:ascii="Arial" w:hAnsi="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David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ascii="Arial" w:hAnsi="Arial" w:eastAsia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 w:before="0" w:after="0"/>
        <w:ind w:end="0"/>
        <w:jc w:val="both"/>
        <w:rPr>
          <w:rFonts w:ascii="Arial" w:hAnsi="Arial" w:cs="David"/>
          <w:b/>
          <w:bCs/>
          <w:sz w:val="24"/>
          <w:szCs w:val="24"/>
          <w:u w:val="single"/>
        </w:rPr>
      </w:pPr>
      <w:r>
        <w:rPr>
          <w:rFonts w:cs="David" w:ascii="Arial" w:hAnsi="Arial"/>
          <w:b/>
          <w:bCs/>
          <w:sz w:val="24"/>
          <w:szCs w:val="24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הורשע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פי הודאתו ובמסגרת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בעבירות שיוחסו לו בכתב אישום מתוקן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שעניינן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bookmarkStart w:id="12" w:name="_GoBack"/>
      <w:r>
        <w:rPr>
          <w:rFonts w:ascii="David" w:hAnsi="David" w:cs="David"/>
          <w:sz w:val="24"/>
          <w:sz w:val="24"/>
          <w:szCs w:val="24"/>
          <w:rtl w:val="true"/>
        </w:rPr>
        <w:t>חבלה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בכוונה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מחמירה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bookmarkEnd w:id="12"/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);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נשיאה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והובלה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כדין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יריות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באזור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מגורים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הסתייעות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ברכב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לביצוע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פשע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נוסח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חדש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תשכ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1961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פקודת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התעבורה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נהיגה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רישיון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נהיגה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נהיגה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רישיון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רכב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sz w:val="24"/>
          <w:szCs w:val="24"/>
          <w:rtl w:val="true"/>
        </w:rPr>
        <w:t>;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שימוש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ברכב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פוליסת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ביטוח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תוקף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ביטוח רכב מנועי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התש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1970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פי 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7.1.2016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בוצע שוד בתחנת דלק בבית זרזיר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במהלכו ירה אחד השודדים בלינא בשיר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לינא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שעבדה בתחנה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באותה 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ופצע אותה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אירוע זה התעורר סכסוך בין הנאשם ומשפחתה של לינא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שכן חלק מבני משפחתה חשדו בנאשם ובחברו אדהם רחאל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אדהם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שהם אלה שביצעו את השוד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ביום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2.3.2016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16:20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בק</w:t>
      </w:r>
      <w:r>
        <w:rPr>
          <w:rFonts w:ascii="David" w:hAnsi="David" w:cs="David"/>
          <w:sz w:val="24"/>
          <w:sz w:val="24"/>
          <w:szCs w:val="24"/>
          <w:rtl w:val="true"/>
        </w:rPr>
        <w:t>ירוב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נהג הנאשם ברכבו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כשעמו אדהם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בצומת הכניסה לשכונת הייב שבבית זרזיר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הבחין הנאשם ברכב בו נסעו איהאב בשיר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איהאב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ומוחמד בשיר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אחיה של לינא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בעת שהמתינו בצומת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קרא לעברו של מוחמד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מה אתה מסתכל עליי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ובהמשך קילל אותו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עצר את רכבו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וירד ממנו כשהוא מתקדם לעבר מוחמד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מוחמד ירד מהרכב בו נסע והתעמת פיזית עם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חלק מהנוכחים במקום הפרידו בין הנאשם ומוחמד ושני כלי הרכב נסעו מהמקום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רקע הדברים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החליט הנאשם לפגוע בבני משפחתה של לינא בירי בנשק 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נהג לביתם של איהאב ומוחמד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כשהוא נושא עמו רובה מסוג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</w:rPr>
        <w:t>M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קצר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הרובה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וזאת בלא היתר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16:50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בקירוב הגיע הנאשם ברכב לביתם של האחים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כשעמו ברכב אדם 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חנה מול הבית וצפר מספר פעמים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איהאב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אחיו ערד בשיר ובנו בן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 איהאב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שהיו בבית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יצאו למרפסת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הכוללת מעקה בטון נמוך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כשראה הנאשם את המתלוננ</w:t>
      </w:r>
      <w:r>
        <w:rPr>
          <w:rFonts w:ascii="David" w:hAnsi="David" w:cs="David"/>
          <w:sz w:val="24"/>
          <w:sz w:val="24"/>
          <w:szCs w:val="24"/>
          <w:rtl w:val="true"/>
        </w:rPr>
        <w:t>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במרפסת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יצא מהרכב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קילל אותם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הוציא מהרכב את הרובה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כיוון אותו לעבר המתלוננים וירה לעברם 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יריות בכוונה לגרום להם לחבלה חמורה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תחילת הירי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המתלוננים נשכבו במרפסת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כשאיהאב נשכב על בנו כדי להגן עליו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נפגעו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מהיריות שירה הנאשם פגעו בבית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במעקה הבטון של המרפסת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וחלק מהיריות חדרו לתוך הבית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נהג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שפורט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שאינו בעל רישיון נהיגה והרכב שבו נהג היה בלא רישיון רכב תקף ובלא ביטוח תקף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פי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שתוארו לעיל ניסה הנאשם לפגוע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במתלוננים בקליע ולגרום להם לחבלה חמורה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נשא והוביל נשק בלא רשות כדין לנשיאתו והובלתו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ירה בנשק חם באזור מגורים ללא הסבר סביר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הסתייע ב</w:t>
      </w:r>
      <w:r>
        <w:rPr>
          <w:rFonts w:ascii="David" w:hAnsi="David" w:cs="David"/>
          <w:sz w:val="24"/>
          <w:sz w:val="24"/>
          <w:szCs w:val="24"/>
          <w:rtl w:val="true"/>
        </w:rPr>
        <w:t>רכב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לביצוע פשע ונהג ברכב ללא רישיון נהיגה תקף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רישיון רכב תקף ובלא פוליסת ביטוח תקפה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651" w:start="651" w:end="0"/>
        <w:jc w:val="both"/>
        <w:rPr/>
      </w:pPr>
      <w:r>
        <w:rPr>
          <w:rFonts w:cs="David" w:ascii="David" w:hAnsi="David"/>
          <w:b/>
          <w:bCs/>
          <w:sz w:val="24"/>
          <w:szCs w:val="24"/>
          <w:lang w:eastAsia="he-IL"/>
        </w:rPr>
        <w:t>3</w:t>
      </w:r>
      <w:r>
        <w:rPr>
          <w:rFonts w:cs="David" w:ascii="David" w:hAnsi="David"/>
          <w:sz w:val="24"/>
          <w:szCs w:val="24"/>
          <w:rtl w:val="true"/>
          <w:lang w:eastAsia="he-IL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כאמור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הודאת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באה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במסגרת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הסדר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טיעון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אשר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כלל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תיקון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כתב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האישום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ההסדר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איננו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כולל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הסכמה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לגבי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העונש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פרט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לכך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שהוצהר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כי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העונשים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יכללו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בפועל</w:t>
      </w:r>
      <w:r>
        <w:rPr>
          <w:rFonts w:cs="David" w:ascii="Arial" w:hAnsi="Arial"/>
          <w:sz w:val="24"/>
          <w:szCs w:val="24"/>
          <w:rtl w:val="true"/>
          <w:lang w:eastAsia="he-IL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מאסר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תנאי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ופסילת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רישיון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נהיגה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וכי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הצדדים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יטענו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באשר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לסוגיית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הטלתם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רכיבים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נוספים</w:t>
      </w:r>
      <w:r>
        <w:rPr>
          <w:rFonts w:cs="David" w:ascii="Arial" w:hAnsi="Arial"/>
          <w:sz w:val="24"/>
          <w:szCs w:val="24"/>
          <w:rtl w:val="true"/>
          <w:lang w:eastAsia="he-IL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שהם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פיצוי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למתלוננים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וחילוט</w:t>
      </w:r>
      <w:r>
        <w:rPr>
          <w:rFonts w:ascii="Arial" w:hAnsi="Arial" w:eastAsia="Arial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  <w:lang w:eastAsia="he-IL"/>
        </w:rPr>
        <w:t>הרכב</w:t>
      </w:r>
      <w:r>
        <w:rPr>
          <w:rFonts w:cs="David" w:ascii="Arial" w:hAnsi="Arial"/>
          <w:sz w:val="24"/>
          <w:szCs w:val="24"/>
          <w:rtl w:val="true"/>
          <w:lang w:eastAsia="he-IL"/>
        </w:rPr>
        <w:t xml:space="preserve">. </w:t>
      </w:r>
      <w:r>
        <w:rPr>
          <w:rFonts w:cs="David" w:ascii="David" w:hAnsi="David"/>
          <w:b/>
          <w:bCs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לצד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זאת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המאשימה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לא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התנגדה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לבקשת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להורות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הזמנת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תסקיר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שירות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המבחן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  <w:lang w:eastAsia="he-IL"/>
        </w:rPr>
        <w:t>בעניינו</w:t>
      </w:r>
      <w:r>
        <w:rPr>
          <w:rFonts w:cs="David" w:ascii="David" w:hAnsi="David"/>
          <w:sz w:val="24"/>
          <w:szCs w:val="24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hanging="651" w:start="651" w:end="0"/>
        <w:jc w:val="both"/>
        <w:rPr>
          <w:rFonts w:ascii="David" w:hAnsi="David" w:cs="David"/>
          <w:sz w:val="24"/>
          <w:szCs w:val="24"/>
          <w:lang w:eastAsia="he-IL"/>
        </w:rPr>
      </w:pPr>
      <w:r>
        <w:rPr>
          <w:rFonts w:cs="David" w:ascii="David" w:hAnsi="David"/>
          <w:sz w:val="24"/>
          <w:szCs w:val="24"/>
          <w:rtl w:val="true"/>
          <w:lang w:eastAsia="he-IL"/>
        </w:rPr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הראיות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לעונש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בטרם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נשמעו טיעוני הצדדים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הגישה המאשימה כראיה מטעמה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גיליון הרישום הפלילי של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</w:t>
      </w:r>
      <w:r>
        <w:rPr>
          <w:rFonts w:cs="David" w:ascii="David" w:hAnsi="David"/>
          <w:b/>
          <w:bCs/>
          <w:sz w:val="24"/>
          <w:szCs w:val="24"/>
          <w:rtl w:val="true"/>
        </w:rPr>
        <w:t>/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מטעמו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הנאשם לא הוגשו ראיות לעונש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תסקיר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שירות המבחן</w:t>
      </w:r>
      <w:r>
        <w:rPr>
          <w:rFonts w:cs="David" w:ascii="David" w:hAnsi="David"/>
          <w:b/>
          <w:bCs/>
          <w:i/>
          <w:iCs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5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הינו כבן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מוסלמי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טרם מעצרו התגורר עם אביו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אחיו ואמו החורגת בבית זרזיר ועבד כשכיר בתחום המזגנים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התסקיר מפרט את נסיבות חייו של הנאשם והרקע המשפחתי שלו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בתמצית יאמר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בעבר היה אביו של הנאשם מעורב בפלילים וריצה מספר עונשי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האחרון בהם לתקופה של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אמו של הנאשם עזבה את בית המשפחה לפני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ככל הנראה על רקע מערכת יחסים אלימה ומורכבת עם האב ומשפחתו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מצוי עימה בקשר לא רציף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היעדרותו של האב לתקופות מאסר שונות הביאה לכך כי במהלך השנים גדל הנאשם בבית סבו וסבתו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אותם תיאר כדמויות משמעותיות בחייו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השלים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לטענתו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הפסיק ללמוד על רקע רצונו להשתלב בשוק העבודה ולסייע בפרנסת המשפחה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דיווח כי בגיל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החל לעבוד בעבודות מזדמנות תוך שמירה על תפק</w:t>
      </w:r>
      <w:r>
        <w:rPr>
          <w:rFonts w:ascii="David" w:hAnsi="David" w:cs="David"/>
          <w:sz w:val="24"/>
          <w:sz w:val="24"/>
          <w:szCs w:val="24"/>
          <w:rtl w:val="true"/>
        </w:rPr>
        <w:t>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תעסוקתי רציף ויציב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דיווח כי שירת שירות חלקי בצבא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למשך כתשעה חודשים בגדוד הגששים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נאלץ לעזוב בשל מצוקתה הכלכלית של משפחתו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שירות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המבחן התייחס לעברו הפלילי של הנאשם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לחובתו הרשעה משנת </w:t>
      </w:r>
      <w:r>
        <w:rPr>
          <w:rFonts w:cs="David" w:ascii="David" w:hAnsi="David"/>
          <w:sz w:val="24"/>
          <w:szCs w:val="24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בעבירת רכוש והפרת הוראה חוקית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בגינה נדון לעונשים שכללו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במסגרת ההליך הקודם הוכן 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נקבע כי קיימת נזקקות טיפולית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הנאשם שלל כל צורך לקבל טיפול ועל כן נמנע אז שירות המבחן מלבוא בהמלצה טיפו</w:t>
      </w:r>
      <w:r>
        <w:rPr>
          <w:rFonts w:ascii="David" w:hAnsi="David" w:cs="David"/>
          <w:sz w:val="24"/>
          <w:sz w:val="24"/>
          <w:szCs w:val="24"/>
          <w:rtl w:val="true"/>
        </w:rPr>
        <w:t>לית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לגביו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בהתייחס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לעבירות הנדונות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ציינה קצינת המבחן כי הנאשם הודה בפניה בעבירות שיוחסו לו ונטל אחריות מלאה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הביע חרטה על התנהלותו וניכר כי השלים עם העובדה כי בגין התנהגותו יידרש לשאת תקופת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תיאר בפני קצינת המבחן את הרקע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וטען כי חווה פגיעה פיזית מצד משפחת המתלוננים והאשמות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לתפיסתו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פגעו בו ובכבוד 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תיאר כי חווה לחץ ודחק רגשי ותחושות של תסכול וחוסר אונים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תחושות נ</w:t>
      </w:r>
      <w:r>
        <w:rPr>
          <w:rFonts w:ascii="David" w:hAnsi="David" w:cs="David"/>
          <w:sz w:val="24"/>
          <w:sz w:val="24"/>
          <w:szCs w:val="24"/>
          <w:rtl w:val="true"/>
        </w:rPr>
        <w:t>פשיות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אלה ורצונו לסיים את הסכסוך פעל והצטייד בנשק שנטל מחברו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שלל כל כוונה לפגוע במתלוננים וטען כי התכוון להפחידם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קצינת המבחן ציינה כי הנאשם הביע בפניה צער אודות התנהגותו כלפי בני משפחת המתלוננים וגילה אמפתיה ראשונית לחוויית החרדה שחוו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כיום אין מתיחות בין בני משפחתו לבין בני משפחת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ככל הנראה לא נערכה סולחה בין המשפחות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דווח כי הנאשם מתאר את האירוע נשוא כתב האישום כאירוע חריג שאינו תואם לאישיותו ואורח חייו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שירות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המבחן העריך על סמך גורמי הסיכון והסיכוי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שפורטו בתסקיר כי רמת הסיכון הנשקפת מן הנאשם הינה בינונית ברמת חומרה גבוהה להישנות התנהגות אלימה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קצינת המבחן ציינה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לשם הפחתת סיכון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נדרשת התערבות טיפולית ובשיחה עם הנאשם נבחנו האפשרויות הטיפוליות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בשונה מן העבר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הפעם הביע הנאשם רצון ונכונות ליטול חלק בהליך 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בתחום ויסות רגשות ושליטה בדחפים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סיכומו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ששקל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את גורמי </w:t>
      </w:r>
      <w:r>
        <w:rPr>
          <w:rFonts w:ascii="David" w:hAnsi="David" w:cs="David"/>
          <w:sz w:val="24"/>
          <w:sz w:val="24"/>
          <w:szCs w:val="24"/>
          <w:rtl w:val="true"/>
        </w:rPr>
        <w:t>הסיכוי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כמו הודאת הנאשם בעבירות המיוחסות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נכונותו לשתף פעולה עם גורמי הטיפול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 מול גורמי הסיכון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ביצוען של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מסוכנות בינונית וסיכון גבוה להישנות התנהגות אלימה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נמנע שירות המבחן ממתן המלצה טיפולית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מחוץ לכתלי הכלא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 התרשמות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ניכר על הנאשם כי הוא משלים עם המחיר העונשי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מקווה להפיק את המיטב במהלך שהותו בכלא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טיפול במסגרת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הומלץ כי במידה ותוטל על הנאשם ענישה שתרוצה בין כתלי הכלא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ישולב בתכנית טיפולית בהתאם לצרכיו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הצדדים לעונש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טיעוני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המאשימה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לעמדת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מתחם העונש ההולם לעבירות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בנסיבותיהן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שש 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תשע שנות מאסר בפו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בשים לב לשיקולים הנוגעים לקביעת המתחם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טענה כי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הערך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החברתי המוגן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שנפגע כתוצאה מביצוע העבירות הינו שמירה על שלום הציבור וביטחונו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ובכלל זה זכותו של כל אדם לחיים ושלמות הגוף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מעשיו של הנאשם פוגעים בערך של שמירה על תחושת הביטחון בציבור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אומנם מעשיו לא </w:t>
      </w:r>
      <w:r>
        <w:rPr>
          <w:rFonts w:ascii="David" w:hAnsi="David" w:cs="David"/>
          <w:sz w:val="24"/>
          <w:sz w:val="24"/>
          <w:szCs w:val="24"/>
          <w:rtl w:val="true"/>
        </w:rPr>
        <w:t>גרמו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לפגיעה בגופם של המתלוננים ובני משפחתם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רק לרכוש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תחושת הביטחון של בני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במיוחד של הילד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אביו נשכב לגונן עליו בגופו מהירי המאסיבי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נפגעה פגיעה חמורה ולא בנקל תימחק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לנסיבות הקשורות בביצוע העבירות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מציינת כי ככל הנראה הנאשם לא תכנן את מעשיו זמן רב מראש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ביום בו החליט הנאשם לפגוע במתלוננים בירי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הצטייד ברובה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תאם לפגיעה אותה ביקש להשיג מבחינת עוצמת הירי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מרחק הירי ומספר היריות האפשרי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הוא הסתובב ברכבו כך שפני הרכב פנו לכיוון היציאה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על מנת לאפשר לו מילוט מהיר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הדברים מלמדים כי הנאשם פעל באופן מתוכנן היטב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יאפשר לו הן פגיעה והן הימלטות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לנזק שנגרם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הנזק הינו נזק לרכוש ונזק נפשי שלא ניתן לאמוד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ואולם הנזק שצפוי היה להיגרם הוא גדול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הירי המאסיבי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עלול היה לקפח את חייהם או לפגוע פגיעות גוף קשות בשני מבוגרים וילד וכן באנשים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שהיו עלולים להימצא בסביבת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הפגיעה הנפשית מפנה המאשימה לפסק הדין שניתן 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4875/11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26.1.2012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בכל הנוגע לנזק הנפשי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שעשוי להיות חמור ועוצמתי ואין כל מקום להקל בעונשו של מי שבמעשיו גרם אך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או בעיקר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לנזק כזה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בהתייחס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למדיניות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עמדה המאשימה על הסיכון הכרוך בעבירות נשק והפנתה לפסיקה התומכת בעמדתה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באשר למתחם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בין ה</w:t>
      </w:r>
      <w:r>
        <w:rPr>
          <w:rFonts w:ascii="David" w:hAnsi="David" w:cs="David"/>
          <w:sz w:val="24"/>
          <w:sz w:val="24"/>
          <w:szCs w:val="24"/>
          <w:rtl w:val="true"/>
        </w:rPr>
        <w:t>שאר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הפנתה המאשימה לפסק הדין שניתן ב</w:t>
      </w:r>
      <w:hyperlink r:id="rId36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780/16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שושה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20.02.2017</w:t>
      </w:r>
      <w:r>
        <w:rPr>
          <w:rFonts w:cs="David" w:ascii="Times New Roman" w:hAnsi="Times New Roman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עניין שושה</w:t>
      </w:r>
      <w:r>
        <w:rPr>
          <w:rFonts w:cs="David" w:ascii="David" w:hAnsi="David"/>
          <w:b/>
          <w:bCs/>
          <w:sz w:val="24"/>
          <w:szCs w:val="24"/>
          <w:rtl w:val="true"/>
        </w:rPr>
        <w:t>")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באותו מקרה דובר בנאשם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 לאחר שמיעת ראיות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שעניינן הובלה ונשיאה של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ובעבירה של חבלה במזיד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גין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אירוע ירי מתוכנן לעבר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שעה שהמתלונן היה ליד ביתו עם אשתו וילדיו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האירוע בוצע על רקע אירוע ירי קודם שבצעו אחיו של המתלונן לעבר המערער ומשפחתו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וכתוצאה מכך נפצעו אביו ואחיו של המערער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כי מתחם העונש ההולם בנסיבות המקרה שם הינו בין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עונש שכלל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ופיצוי למתלונן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הערעו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שהוגש ואישר את המתחם אותו קבע בית המשפט המחוזי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לעמדת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מתחם העונש ההולם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ראוי שיהיה גבוה מהמתחם אותו אישר בית המשפט העליון בעניין שושה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בהתחשב בסוג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שהינו רובה אוטומטי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במספר היריות הגדול בהרבה והעובדה כי הירי בוצע עקב אירוע קל ערך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הפנתה המאשימה לפסק הדין שניתן בבית המשפט העליון במסגרת </w:t>
      </w:r>
      <w:hyperlink r:id="rId37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 w:val="24"/>
            <w:szCs w:val="24"/>
            <w:u w:val="single"/>
          </w:rPr>
          <w:t>768/13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'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29.10.2014</w:t>
      </w:r>
      <w:r>
        <w:rPr>
          <w:rFonts w:cs="David" w:ascii="Times New Roman" w:hAnsi="Times New Roman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לטענתה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נדון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עניינו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מערער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ניסה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לירות באדם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בעודו רעול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ועקב מעצור בנשק הצליח בסופו של דבר לירות רק ירייה אחת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אותו מערער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קשירת קשר לביצוע פשע ונשיאת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 המחוזי השית עליו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נדחה בבית המשפט העליון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11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העונש הראוי לנאשם ביקשה המאשימה לקבוע בתוך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לדידה לא מתקיימות נסיבות מיוחדות המצדיקות הקלה בעונשו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לנסיבות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טוענת המאשימה כי לא הוכחה פגיעה יוצאת דופן בנאשם או במשפחתו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מהענישה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מוסיפה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אמנם הודה בביצוע העבירות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זאת לאחר מספר ישיבות הוכחות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בהן נשמעו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עדי תביעה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לייחס לנאשם שיתוף פעולה כנסיבה לקולא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מאחר והרובה שבו בוצעו העבירות לא נתפס ולא הוסגר עד כה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גם לא עשה מאמץ יוצא דופן לתיקון תוצאות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מפנה לעובדה כי בעברו של הנאשם הרשעה בעבירות גניבה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התפרצות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ניסיון להונאה בכרטיסי חיוב והפרת הוראה חוקית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26422-05-14</w:t>
        </w:r>
      </w:hyperlink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>]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המעשים בגינם הורשע הנאשם בהליך דנן בוצעו חודשים ספורים בלבד לאחר שסיים לרצות עונש מאסר בן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אלה סבורה המאשימה כי יש להטיל על הנאשם עונש מרתיע במיוחד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מפנה למסקנות התסקיר וטוענת כי אף שבתסקיר מצו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ביטוי לחרטה ולאמפטיה שמביע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עסקינן בתסקיר שלילי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הקובע כי הנאשם פועל באופן קיצוני ואלים סביב חוויות של פגיעה בכבוד המשפחה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מפנה להערכת שירות המבחן בדבר מידת הסיכון להישנות העבירות – סיכון בינוני – גבוה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אם יקבל הנאשם 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ולעובדה כי שירות המבחן נמנע ממתן המלצה בעניינו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15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לעמדת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עונשו של הנאשם יש למקם במחצית העליונה של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מבקשת לתת ביטוי בגזר הדין לא רק לפן ההרתעתי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גם להיבט ההרתעתי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כיוון שאירועי ירי כפתרון לסכסוכים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הינם מעשה של יום ביומו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ונדרש לשלוח מסר תקיף וברור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בדמות ענישה מכאיבה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להרתיע ולמגר את התופעה ובכך להגביר את ההגנה על נפגעים פוטנציאלים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16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מבקשת כי לצד עונש המאסר שייגזר 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יוטל על הנאשם עונש מאסר על תנאי ארוך ומרתיע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בעבירות התעבורה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גם בהן מצוי היבט של מסוכנות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מבקשת המאשימה כי תוטל על הנאשם פסילה מלקבל או להחזיק רישיון נהיגה בפועל למשך שנה וכן פסילה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מוסיפה ועותרת לחייב את הנאשם בפיצוי למתלוננים בגין הפגיעה שנגרמה להם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17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לבסוף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עותרת המאשימה לחילוט הרכב בו עשה הנאשם שימוש לצורך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זה היא מפנה להלכה על פיה אמת המידה היא במהותה ובעוצמתה של הזיקה בין החפץ לבין העבירה ובחומרתה של העבירה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4148/92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מועד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22.9.1994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2407/13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מחאמיד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11.12.2013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שלפנינו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קיימת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 הנטען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זיקה חזקה כזו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הנשיאה וההובלה של הנשק החם נעשו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הוציא את הנשק מתוך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</w:t>
      </w:r>
      <w:r>
        <w:rPr>
          <w:rFonts w:ascii="David" w:hAnsi="David" w:cs="David"/>
          <w:sz w:val="24"/>
          <w:sz w:val="24"/>
          <w:szCs w:val="24"/>
          <w:rtl w:val="true"/>
        </w:rPr>
        <w:t>שתמש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ברכב כדי להגיע למקום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לשאת את הנשק בתוכו וכדי להימלט מהמקום מיד לאחר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טיעוני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ההגנה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כוח הנאשם מבקש לקבוע כי מתחם העונש ההולם בעניינו של הנאשם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נע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בין שנה וחצי לשלוש שנות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הסניגור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בכל הנוגע לנסיבות הקשורות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אינו חולק כי המדובר בעבירות חמורות ואינו מקל בהן ראש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זה מבקש הסניגור להדגיש כי המתלוננים בתיק לא נפגעו פיזית ממעשיו של הנאשם ואיש מהם לא נזקק לטיפול רפואי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אף אחד מהמתלוננים לא נורה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אינדיקציה לכך ניתן למצוא בתמונות שהוגשו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מהן עולה כי מרבית היריות כוונו לקירות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בעניין זה חולק הסניגור על עמדת המאשימה וטוען כי יש לתת משקל רב ביותר למבחן התוצאה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ככל שתוצאת המעשים שביצע נאשם תהיה חמורה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יוחמר גם </w:t>
      </w:r>
      <w:r>
        <w:rPr>
          <w:rFonts w:ascii="David" w:hAnsi="David" w:cs="David"/>
          <w:sz w:val="24"/>
          <w:sz w:val="24"/>
          <w:szCs w:val="24"/>
          <w:rtl w:val="true"/>
        </w:rPr>
        <w:t>עונשו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ולהיפך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הסניגור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מבקש לשכנע כי מתחם העונש לו עותרת המאשימה הינו מחמיר מדי ואינו עולה בקנה אחד עם נסיבותיו של המקרה והפסיקה הנוהגת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בתוך כך טוען הוא כי נסיבות המקרה בפסק הדין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שושה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אליו הפנה בא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 חמורות בהרבה מנסיב</w:t>
      </w:r>
      <w:r>
        <w:rPr>
          <w:rFonts w:ascii="David" w:hAnsi="David" w:cs="David"/>
          <w:sz w:val="24"/>
          <w:sz w:val="24"/>
          <w:szCs w:val="24"/>
          <w:rtl w:val="true"/>
        </w:rPr>
        <w:t>ותיו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תיק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שכן באותו עניין דובר במערער שירה לפחות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ממרחק קצר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ממרחק 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במקרה כאן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דובר שם במערער שהיה בכוונתו לפגוע במתלוננים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ומבחינתו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כוונתו לא הייתה לפגוע במתלוננים כי אם להפחידם בלבד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.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הסניגור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מפנה לאסופת 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ממנה הוא מבקש ללמוד כי בתיקים שנסיבותיהם חמורות בהרבה נקבע רף ענישה נמוך בהרבה מרף הענישה אותו מבקשת המאשימה לקבוע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ירושלים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318/04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מלאחי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6.1.2005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עניין מלאחי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שם נדון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שהורשע בעבירה לפי 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שירה לע</w:t>
      </w:r>
      <w:r>
        <w:rPr>
          <w:rFonts w:ascii="David" w:hAnsi="David" w:cs="David"/>
          <w:sz w:val="24"/>
          <w:sz w:val="24"/>
          <w:szCs w:val="24"/>
          <w:rtl w:val="true"/>
        </w:rPr>
        <w:t>בר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קבוצה של אנשים וכתוצאה מכך נהרג עובר אורח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תל אביב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4173/09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בן הרוש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13.4.2010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עניין בן הרוש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נדון נאשם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שהורשע בעבירות של חבלה בכוונה מחמירה לאחר שירה באזור מגורים וגרם לאחר לחבלות קשות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לנסיבות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מפנה הסנגור לתסקיר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ומבקש לקבוע כי לא מדובר בתסקיר שלילי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אם איננו כולל המלצה לעניין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המפורט 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במיוחס לו ונטל אחריות מלאה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גם הביע חרטה וצער על התנהגותו ואף הביע אמפתיה למתלוננים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.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טוען הסניגור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בקביעת עונשו של הנאשם יש לקחת בחשבון את נסיבות חייו הקשות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לא פורטו כדבעי 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ואשר בגינן הוא מצוי במצוקה רגשית קשה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עסקינן במי שאמו עזבה את הבית כשהיה ילד בן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באותה תקופה נשפט אביו לתקופת מאסר ממושכת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כילד בתחילת גיל ההתבגרות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גדל אצל סבו וסבתו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זכה להדרכה ולהורים שיכוונו אותו לדרכו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הסניגור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מוסיף כי הנאשם מבקש לפתוח דף חדש בחייו ובפני שירות המבחן הביע רצון  לקבל 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ביודעו כי טיפול כזה יינתן בין כתלי הכלא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בצירוף גילוי האמפתיה למתלוננים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מצביע על הפחתת מסוכנותו של הנאשם ומהווה נימוק להקל בעונשו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 הקביעה בתסקיר כי ה</w:t>
      </w:r>
      <w:r>
        <w:rPr>
          <w:rFonts w:ascii="David" w:hAnsi="David" w:cs="David"/>
          <w:sz w:val="24"/>
          <w:sz w:val="24"/>
          <w:szCs w:val="24"/>
          <w:rtl w:val="true"/>
        </w:rPr>
        <w:t>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משלים עם המחיר שעליו לשלם בעקבות מעשיו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25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נסיבות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נוספות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שאינן 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עליהן מצביע הסנגור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העובדה כי עסקינן בנאשם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בעברו הרשעה יחידה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חרף העובדה כי החלו להישמע ראיות בתיק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לזקוף לזכותו את העובדה כי הודה בכתב אישום מתוקן ובכך חסך זמן שיפוטי רב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26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איננו מבקש כי בית המשפט ישתמש בסמכות המוקנית לו לחרוג ממתחם העונש הה</w:t>
      </w:r>
      <w:r>
        <w:rPr>
          <w:rFonts w:ascii="David" w:hAnsi="David" w:cs="David"/>
          <w:sz w:val="24"/>
          <w:sz w:val="24"/>
          <w:szCs w:val="24"/>
          <w:rtl w:val="true"/>
        </w:rPr>
        <w:t>ולם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בשל 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על פי שעיון בתסקיר מעלה כי אכן קיים סיכוי גדול להליך שיקומי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לטענת הסנגור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עצור מזה כשנה ומבין כי הליך שיקום ראוי שייערך בין כותלי הכלא יצריך תקופה של לפחות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הוא סבור כי יש לאפשר לו הליך שיקומי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שיתחיל מיד עם מתן גזר הדין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27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באשר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למיקום עונשו של הנאשם בתוך המתחם טוען הסניגור כי את עונשו יש לקבוע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תקופה של עד שנתיים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תקופה הולמת וראויה בשים לב לפסיקה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למתחם </w:t>
      </w:r>
      <w:r>
        <w:rPr>
          <w:rFonts w:ascii="David" w:hAnsi="David" w:cs="David"/>
          <w:sz w:val="24"/>
          <w:sz w:val="24"/>
          <w:szCs w:val="24"/>
          <w:rtl w:val="true"/>
        </w:rPr>
        <w:t>אליו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הפנה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לנכונותו של הנאשם לעבור הליך טיפולי ולעובדה כי לא נגרם נזק פיזי למתלוננים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הסנגור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מבקש להימנע מפסיקת פיצוי למתלוננים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מאחר ולא הוכח כי נגרם להם נזק ולא הוגשה כל ראייה לעניין זה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29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הסניגור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מוסיף וטוען כי יש לדחות את עתירת המאשימה לחילוט הרכב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לטענתו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הטיעון אותו מעלה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לפיו קיים קשר הדוק בין הרכב לבין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הינו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טיעון לא רלוונטי שכן רובם של הנאשמים מסתייעים ברכבם לביצוע 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לחלופין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מבוקש כי במידה ויוחלט הרכב ימנע בית המשפט מהטלת פיצוי או קנס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30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בתגובה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לפסיקה שהגיש הסניגור ביקש בא כוח המאשימה להפנות לכך כי בפסק הדין בעניין בן הרוש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אליו הפנה הסניגור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דובר על הסדר טיעון מקל שהושג בשל חולשת הראיות ועל כן אין לראות בתוצאת גזר הדין כאמת מידה למדיניות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ציין בא כוח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בעניין מלאחי נטען כי מדובר בפסק דין ישן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שאינו משקף את רמת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 גם ששם דובר בקטטה בה נזרקו חפצים ונורו יריות משני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לא ניתן היה לייחס דווקא לנאשם את הירי שהרג את הקורבן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31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בתגובה לטיעוניו של הסניגור ביקש בא כוח המאשימה להתנגד לדבריו של הסניגור כאילו מדובר בירי שכוון לקירות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ציין כי טיעון זה נוגד את המוסכם ואת האמור בכתב האישום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יתרה מכך 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חלק מן היריות פגעו במעקה המרפסת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שמאחוריו שכבו המתלוננים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דברי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הנאשם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32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הביע צער על מעשיו וציין כי בכוונתו לעבור טיפול ולהשתלב בתכנית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ביקש את התחשבות בית המשפט בגזירת עונשו והבטיח כי לא ישוב על הטעות שביצע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והכרעה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>
          <w:rFonts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33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       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פי 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6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העיקרון המנחה בענישה הוא עיקרון 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שמשמעו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קיומו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יחס הולם בין חומרת מעשה העביר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בנסיבותיו ומידת אשמו של הנאשם ובין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גזירת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עונשו של נאשם בגיר מחייבת 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לעיקרון המנחה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וקביעת העונש המתאים לנאשם בתוך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במקרים יוצאי דופן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לסטות מן המתחם לקולא בהסתמך על שיקולי שיקום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או לחומרא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בשל שיקולי הגנה על שלום הציבור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4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34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כשמדובר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במי שהורשע בריבוי 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הליך גזירת הדין כולל שלושה שלבים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בשלב הראשון על בית המשפט לקבוע בהתאם </w:t>
      </w: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יג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האם עבירות אלה מהוות אירוע אחד או כמה אירועים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מבחן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הקשר ההדוק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שהתפתח בפסיקה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29.10.2014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hyperlink r:id="rId5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1127/13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גברזגיי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15.01.2014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hyperlink r:id="rId54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4702/15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20.04.2016</w:t>
      </w:r>
      <w:r>
        <w:rPr>
          <w:rFonts w:cs="David" w:ascii="David" w:hAnsi="David"/>
          <w:sz w:val="24"/>
          <w:szCs w:val="24"/>
          <w:rtl w:val="true"/>
        </w:rPr>
        <w:t>)).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מדובר בכמה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המהוות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יקבע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המשפט מתחם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עונש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הולם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לאירוע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כולו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ויגזור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עונש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כולל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לכל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העבירות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אותו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חולק כי מדובר במספר 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המהוות אירוע אחד לצורך קביעת המתחם ויש לקבוע לגביהן מתחם אחד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35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מתחם העונש ההולם יש לקבוע על פי אמות המידה שנקבעו </w:t>
      </w: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56"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שהן הע</w:t>
      </w:r>
      <w:r>
        <w:rPr>
          <w:rFonts w:ascii="David" w:hAnsi="David" w:cs="David"/>
          <w:sz w:val="24"/>
          <w:sz w:val="24"/>
          <w:szCs w:val="24"/>
          <w:rtl w:val="true"/>
        </w:rPr>
        <w:t>רך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החברתי שנפגע מביצוע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מדיניות הענישה הנהוגה והנסיבות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כפי המפורט </w:t>
      </w:r>
      <w:hyperlink r:id="rId5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את העונש המתאים לנאשם גוזר בית המשפט בהתחשב בנסיבות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כמפורט </w:t>
      </w:r>
      <w:hyperlink r:id="rId58"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cs="Times New Roman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5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האמור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לעיל איננו גורע מסמכותו של בית המשפט לשקול נסיבות נוספות הקשורות בביצוע העבירה לשם קביעת המתחם או נסיבות נוספות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לשם קביעת העונש המתאים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60"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>יב</w:t>
        </w:r>
        <w:r>
          <w:rPr>
            <w:rStyle w:val="Hyperlink"/>
            <w:rFonts w:cs="Times New Roman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61"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br/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העונש ההולם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מתחם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העונש ההולם נקבע על פי הערך החברתי שנפגע מביצוע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37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הערך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המוגן ומידת הפגיעה בו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מעשיו של הנאשם פוגעים בערך החברתי של שלמות הגוף וחיי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בערך של ביטחון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שמירה על הסדר הציבורי </w:t>
      </w:r>
      <w:r>
        <w:rPr>
          <w:rFonts w:ascii="David" w:hAnsi="David" w:cs="David"/>
          <w:sz w:val="24"/>
          <w:sz w:val="24"/>
          <w:szCs w:val="24"/>
          <w:rtl w:val="true"/>
        </w:rPr>
        <w:t>והיכולת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לקיים שיגרת חיים תקינה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מבלי שאדם יחוש מאוים במרחב הציבורי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קל וחומר בביתו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מידת הפגיעה בערך של ביטחון הציבור בעבירה מסוג 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הינה מן הגבוהות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החשש והפחד שמעשים מעין אלה נוטעים בלב אדם מן היישוב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עלול להיקלע לסיטואציה שתביא לאובדן חיי אדם ולפגיעה בחפים מפשע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כל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חטאו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נובע מכך כי נקלע בדרך מקרה לזירת 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גם מידת הסיכון שיגרם נזק ופגיעה בשלומו ואף בחייו של אדם הינו גבוה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שהירי מבוצע בלב איזור מגורים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60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60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60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38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הנסיבות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הקשורות בביצוע העבירה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מעובדות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</w:t>
      </w:r>
      <w:r>
        <w:rPr>
          <w:rFonts w:ascii="David" w:hAnsi="David" w:cs="David"/>
          <w:sz w:val="24"/>
          <w:sz w:val="24"/>
          <w:szCs w:val="24"/>
          <w:rtl w:val="true"/>
        </w:rPr>
        <w:t>תב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בהן הודה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עולה כי הוא פעל על מנת לגרום לפגיעה במתלוננים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הירי לעברם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ניתן לקבל טענה העומדת בסתירה לאמור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טענת הנאשם בפני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כאילו התכוון רק להפחיד את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הניסיון בטיעונים לעונש לאבחן בין מעשיו של הנאשם לבין מקרים בהם כוון הירי על מנת לפגוע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דינם להידחות ויש בהם מידה מסוימת של אי לקיחת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למרות התרשמות שירות 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>
          <w:rFonts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תכנן את מעשיו מבעוד מועד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הצטייד ברובה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שתכונותיו מאפשרות לו ירי אוטומטי של מספר גדול של קלי</w:t>
      </w:r>
      <w:r>
        <w:rPr>
          <w:rFonts w:ascii="David" w:hAnsi="David" w:cs="David"/>
          <w:sz w:val="24"/>
          <w:sz w:val="24"/>
          <w:szCs w:val="24"/>
          <w:rtl w:val="true"/>
        </w:rPr>
        <w:t>עים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ולאחר שחנה בפתח ביתם של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צפר מספר פעמים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גרם להם לצאת למרפסת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שיהיו חשופים לפגיעה מהנשק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לעניין התכנון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החנה את רכבו בצורה שתאפשר לו הימלטות מהירה מהמקום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כשפני הרכב מכוונים כלפי היציאה מן הרחוב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ירה בנשק אוטומטי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מספר רב של כדורים לעבר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שעמדו על מרפסת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שהו באותה עת בני המשפחה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לרבות ילד בן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אמנם הכדורים לא פגעו באיש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במעשיו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העמיד הנאשם בסיכון רב את כל הנמצאים בבית ובסביבתו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ואך בנס לא נסתיים האירוע בפגיעה בנפש או בגוף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גם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עבירות התעבורה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שאינן עומדות אמנם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במרכז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מסוג העבירות העלולות לפגוע בציבור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בשלומו ובביטחונו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ביצע את עבירות הירי והנשק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נוהג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מבלי שיש לו רישיון </w:t>
      </w:r>
      <w:r>
        <w:rPr>
          <w:rFonts w:ascii="David" w:hAnsi="David" w:cs="David"/>
          <w:sz w:val="24"/>
          <w:sz w:val="24"/>
          <w:szCs w:val="24"/>
          <w:rtl w:val="true"/>
        </w:rPr>
        <w:t>נהיגה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תקף ועושה שימוש ברכב שאין לו ביטוח תקף או רישיון 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39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מדיניות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הענישה הנהוגה בעבירות שביצע הנאשם בנסיבותיהן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עמד לא אחת על חומרת התופעה של שימוש בנשק לפתרון סכסוכים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חומרה יתרה מיוחסת לאותם מקרים שבהם השימוש בנשק חם נעשה בתוך שטח עירוני ובסביבת בתי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32/14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עמאש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17.9.2015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קבע בית המשפט העליון את הדברים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851"/>
        <w:jc w:val="both"/>
        <w:rPr>
          <w:rFonts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הרעה החולה הפוקדת את מקומותינו ומותירה חלל והרס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היא התופעה של שימוש בנשק חם ברחובה של עיר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בשל סכסוכים בעניינים של מה בכך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חזר והתריע מפני התפשטות התופעה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וקבע בא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ופן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ברור כי יש להילחם בה ולמגרה באופן הנחרץ ביותר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מנוס מהטלת עונש מאסר של ממש בנסיבות אלו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אם מדובר באנשים נורמטיביים ללא עבר פלילי מכביד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40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6924/12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בעארני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29.10.2013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נקבע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993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רבות נכתב ונאמר על התופעה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למרבה הצער הולכת ומתרחבת במקומותינו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 שימוש בכלי נשק קרים וחמים לשם יישוב מחלוקות וסכסוכים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וכפי שציין חברי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דנציגר בעניי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חנוכייב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b/>
          <w:bCs/>
          <w:sz w:val="24"/>
          <w:szCs w:val="24"/>
        </w:rPr>
        <w:t>42</w:t>
      </w:r>
      <w:r>
        <w:rPr>
          <w:rFonts w:cs="David" w:ascii="David" w:hAnsi="David"/>
          <w:b/>
          <w:bCs/>
          <w:sz w:val="24"/>
          <w:szCs w:val="24"/>
          <w:rtl w:val="true"/>
        </w:rPr>
        <w:t>,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 לו לבית המשפט להישאר אדיש לתופעת תת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תרבות הסכין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פשתה בקרבנו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בתי המשפט מצווים להחמיר עם מי שלקח לידו כלי משחית כסכין במטרה ברורה לפצוע אדם אחר ומתוך הבנה לתוצאות הקשות האפשריות למעשיו</w:t>
      </w:r>
      <w:r>
        <w:rPr>
          <w:rFonts w:cs="David" w:ascii="David" w:hAnsi="David"/>
          <w:b/>
          <w:bCs/>
          <w:sz w:val="24"/>
          <w:szCs w:val="24"/>
          <w:rtl w:val="true"/>
        </w:rPr>
        <w:t>".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וראו גם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hyperlink r:id="rId64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6412/10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z w:val="24"/>
          <w:szCs w:val="24"/>
          <w:rtl w:val="true"/>
        </w:rPr>
        <w:t>] (</w:t>
      </w:r>
      <w:r>
        <w:rPr>
          <w:rFonts w:cs="David" w:ascii="David" w:hAnsi="David"/>
          <w:b/>
          <w:bCs/>
          <w:sz w:val="24"/>
          <w:szCs w:val="24"/>
        </w:rPr>
        <w:t>19.7.2011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); </w:t>
      </w:r>
      <w:hyperlink r:id="rId65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8675/09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דיגנקוב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z w:val="24"/>
          <w:szCs w:val="24"/>
          <w:rtl w:val="true"/>
        </w:rPr>
        <w:t>] (</w:t>
      </w:r>
      <w:r>
        <w:rPr>
          <w:rFonts w:cs="David" w:ascii="David" w:hAnsi="David"/>
          <w:b/>
          <w:bCs/>
          <w:sz w:val="24"/>
          <w:szCs w:val="24"/>
        </w:rPr>
        <w:t>21.1.2011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b/>
          <w:bCs/>
          <w:sz w:val="24"/>
          <w:szCs w:val="24"/>
        </w:rPr>
        <w:t>1558/08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פרטוש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z w:val="24"/>
          <w:szCs w:val="24"/>
          <w:rtl w:val="true"/>
        </w:rPr>
        <w:t>] (</w:t>
      </w:r>
      <w:r>
        <w:rPr>
          <w:rFonts w:cs="David" w:ascii="David" w:hAnsi="David"/>
          <w:b/>
          <w:bCs/>
          <w:sz w:val="24"/>
          <w:szCs w:val="24"/>
        </w:rPr>
        <w:t>29.10.2008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); </w:t>
      </w:r>
      <w:hyperlink r:id="rId66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925/07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חדד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b/>
          <w:bCs/>
          <w:sz w:val="24"/>
          <w:szCs w:val="24"/>
          <w:rtl w:val="true"/>
        </w:rPr>
        <w:t>] (</w:t>
      </w:r>
      <w:r>
        <w:rPr>
          <w:rFonts w:cs="David" w:ascii="David" w:hAnsi="David"/>
          <w:b/>
          <w:bCs/>
          <w:sz w:val="24"/>
          <w:szCs w:val="24"/>
        </w:rPr>
        <w:t>18.6.2008</w:t>
      </w:r>
      <w:r>
        <w:rPr>
          <w:rFonts w:cs="David" w:ascii="David" w:hAnsi="David"/>
          <w:b/>
          <w:bCs/>
          <w:sz w:val="24"/>
          <w:szCs w:val="24"/>
          <w:rtl w:val="true"/>
        </w:rPr>
        <w:t>))."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41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875/12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טהה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7.1.2013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סקר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עמית את רמת הענישה שהתווה בית המשפט העליון בעבירות של חבלה בכוונה מחמירה ושל החזקת נשק וירי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1552/08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פרטוש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29.10.2008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נקבע כי רף הענישה המקובל בעבירות עין אלה נע בין חמש וחצי שנות מאסר לבין תשע 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6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3573/08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עוואדרה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13.4.2010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 בית המשפט העליון ואישר את רף הענישה המקובל אשר נקבע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פרטוש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ab/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קבע בית המשפט העליון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עוואדרה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את הדברים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ind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851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לשוב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ולהדגיש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זכותו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לחיים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ולשלמות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הגוף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זכות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מקודשת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ואין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להתיר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לאיש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בזכות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להלחם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שפשטה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בחברה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הישראלית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צורותיה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וגווניה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מחוצה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בקרב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נוער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בקרב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מבוגרים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נגע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האלימות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הינו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רעה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חולה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לבערה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היסוד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ומן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הראוי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שידע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איש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ותדע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אישה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יבחרו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האלימות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ייטו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להשית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עליהם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משמעותיים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ומרתיעים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מאחורי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סורג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ובריח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בעניין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טהה </w:t>
      </w:r>
      <w:r>
        <w:rPr>
          <w:rFonts w:ascii="David" w:hAnsi="David" w:cs="David"/>
          <w:sz w:val="24"/>
          <w:sz w:val="24"/>
          <w:szCs w:val="24"/>
          <w:rtl w:val="true"/>
        </w:rPr>
        <w:t>דובר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במערערים אשר הורשעו בעבירות של קשירת קשר לפשע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 וירי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העבירות בוצעו על רקע סכסוך בין משפחות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כאמור מעלה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הפנה לפסק הדין בעניין עוואדה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שהוא מוסיף 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851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דברים אלה יש לומר ביתר שאת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כאשר מדובר בנגע השימוש בנשק חם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תוך ירי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לעיתים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במקומות מיושבים וסיכון עוברי אורח תמימים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וזאת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במסגרת סכסוכים ועימותים בין משפחות או חמולות יריבות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לנוכח גישתו המחמירה של בית משפט זה כלפי מבצעי עבירות של חבלה בכוונה מחמירה בכלל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וכלפי אלה המשתמשים בנשק ליישוב מחלוקות סכסוכי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בפרט </w:t>
      </w:r>
      <w:r>
        <w:rPr>
          <w:rFonts w:cs="David" w:ascii="David" w:hAnsi="David"/>
          <w:b/>
          <w:bCs/>
          <w:sz w:val="24"/>
          <w:szCs w:val="24"/>
          <w:rtl w:val="true"/>
        </w:rPr>
        <w:t>[...]"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ניתן ללמוד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בנוגע למדיניות הענישה הנהוגה בעבירות מסוג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דברים שקבע בית המשפט העליון ב</w:t>
      </w:r>
      <w:hyperlink r:id="rId7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5753/04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רייכמן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7.2.2005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Normal"/>
        <w:spacing w:lineRule="auto" w:line="360" w:before="0" w:after="0"/>
        <w:ind w:firstLine="793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993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לאחרונה נתקלים אנו במעשי בריונות שלא ידענו בעבר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שאם בעבר יישבו צעירים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וגם מי שאינם צעירים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חילוקי דיעות שבינ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יהם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בסכינים שנעצו בגופו של הזולת </w:t>
      </w:r>
      <w:r>
        <w:rPr>
          <w:rFonts w:cs="David" w:ascii="David" w:hAnsi="David"/>
          <w:b/>
          <w:bCs/>
          <w:sz w:val="24"/>
          <w:szCs w:val="24"/>
          <w:rtl w:val="true"/>
        </w:rPr>
        <w:t>-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תת תרבות הסכין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קראנו לתופעה ממאירה זו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הנה כיום עלינו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שמא נאמר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ירדנו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ברמה ובחומרה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עוד יישוב סיכסוכים בנשק קר אלא יישוב סיכסוכים בנשק חם</w:t>
      </w:r>
      <w:r>
        <w:rPr>
          <w:rFonts w:cs="David" w:ascii="David" w:hAnsi="David"/>
          <w:b/>
          <w:bCs/>
          <w:sz w:val="24"/>
          <w:szCs w:val="24"/>
          <w:rtl w:val="true"/>
        </w:rPr>
        <w:t>.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סיכסוכים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קראנו לאותם חילוקי דיעות שאנשים מבקשים ליישבם באלימות קשה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אלא שלמרבה התמיהה והצער אין המדובר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ברוב המקרים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בסיכסוכים של ממש אלא בסיכסוכים שניתן לכנותם סיכסוכי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זוטא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סיכסוכי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זוטא אלה מעורבים בהם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הרוב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אנשים צעירים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ועל דברים של מה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בכך נשלפת סכין וננעצת בגוף הזולת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לאחרונה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נשלף כלי ירייה קטלני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תופעה נוראה זו פשתה בחברתנו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היתה כמחלה ממארת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וחובה היא המוטלת עלינו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בית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להעלות תרומתו למלחמה קשה זו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מלחמה היא שאסור לעשות בה ויתורים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שאם נוותר ונסלח תתגבר התופעה ותלך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חברתנו הפכה להיותה חברה אלימה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ותרומתו של בית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המשפט למלחמה באלימות היא בהטלת עונשים ראויים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בבואנו לגזור עונשים על עבריינים כמשיב שלפנינו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שומה עלינו לשוות נגד עינינו לא רק את המשיב ואת צורכי שיקומו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רק את משפחתו הסובלת בשל מעשיו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אלא גם את הנפגעים ממעשיו של המשיב ואת הנפגעים ממעשים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בכוח שייעשו אם 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נגיב בחומרה על מעשים כמעשה המשיב</w:t>
      </w:r>
      <w:r>
        <w:rPr>
          <w:rFonts w:cs="David" w:ascii="David" w:hAnsi="David"/>
          <w:b/>
          <w:bCs/>
          <w:sz w:val="24"/>
          <w:szCs w:val="24"/>
          <w:rtl w:val="true"/>
        </w:rPr>
        <w:t>."</w:t>
      </w:r>
    </w:p>
    <w:p>
      <w:pPr>
        <w:pStyle w:val="Normal"/>
        <w:spacing w:lineRule="auto" w:line="360" w:before="0" w:after="0"/>
        <w:ind w:firstLine="793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44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עיינתי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בפסיקה אליה הפנו הצדדים כמו גם בפסקי דין 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לאחר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שקלול כל האמור לעיל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סבורים כי מתחם העונש ההולם את העבירות שביצע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נע בין </w:t>
      </w:r>
      <w:r>
        <w:rPr>
          <w:rFonts w:cs="David" w:ascii="David" w:hAnsi="David"/>
          <w:b/>
          <w:bCs/>
          <w:sz w:val="24"/>
          <w:szCs w:val="24"/>
        </w:rPr>
        <w:t>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הראוי לנאשם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45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ככלל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קביעת עונשו של נאשם תיעשה בתוך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אם כן ישנן נסיבות המצדיקות סטייה ממנו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בהעדר נסיבות כאלה </w:t>
      </w:r>
      <w:r>
        <w:rPr>
          <w:rFonts w:ascii="David" w:hAnsi="David" w:cs="David"/>
          <w:sz w:val="24"/>
          <w:sz w:val="24"/>
          <w:szCs w:val="24"/>
          <w:rtl w:val="true"/>
        </w:rPr>
        <w:t>יש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לגזור את העונש בתוך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46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העונש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הראוי לנאשם נקבע על פי הנסיבות שאינן </w:t>
      </w:r>
      <w:r>
        <w:rPr>
          <w:rFonts w:ascii="David" w:hAnsi="David" w:cs="David"/>
          <w:sz w:val="24"/>
          <w:sz w:val="24"/>
          <w:szCs w:val="24"/>
          <w:rtl w:val="true"/>
        </w:rPr>
        <w:t>קשורות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הנסיבות הללו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למנות את נסיבות חייו הקשות של הנאשם שבפנינו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שהן מובאות בתסקיר ובטיעוניו של הסניגור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המדובר בבחור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מילדותו נאלץ להתמודד עם מציאות חיים משפחתית לא פשוטה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גדל בבית סבו וסבתו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דמות אב ואם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ונרתם לסייע בפר</w:t>
      </w:r>
      <w:r>
        <w:rPr>
          <w:rFonts w:ascii="David" w:hAnsi="David" w:cs="David"/>
          <w:sz w:val="24"/>
          <w:sz w:val="24"/>
          <w:szCs w:val="24"/>
          <w:rtl w:val="true"/>
        </w:rPr>
        <w:t>נסת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מאמץ שפגע הן בלימודיו והן בשירותו הצבאי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פי האמור 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מגלה אמפטיה כלפי המתלוננים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נוטל אחריות מלאה על מעשיו ומכיר בחומרתם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הגם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שולל הוא כוונה פגוע במתלוננים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הביע בפני שירות המבחן נזקקות טיפולית ונכונות ורצון להשתלב בהליך 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שהוא מודע לכך שיהיה עליו לרצות עונש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מבקש כי משך המאסר שייגזר יאפשר לו השלמת תכנית טיפולית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שיקומית שתסייע בידיו לחזור לחיים תקינים ונורמטיביים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עומדת לזכותו של הנאשם הודאתו במיוחס לו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הודאה שניתנה אמנם בשלב מתקדם יחסית של ההליך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משקפת את נכונותו להכיר בחטאיו והיא תרמה  לחיסכון בזמן שיפוטי ובזמנם של העדים שטרם העידו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47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לחובת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עומדת הרשעתו הקודמת בעבירות גניבה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להונאה בכרטיס חיוב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כניסה למגורים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ascii="David" w:hAnsi="David" w:cs="David"/>
          <w:sz w:val="24"/>
          <w:sz w:val="24"/>
          <w:szCs w:val="24"/>
          <w:rtl w:val="true"/>
        </w:rPr>
        <w:t>תפילה לבצע 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הונאה בכרטיס אשראי והפרת הוראה חוקית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בגין עבירות אלה הוא 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אותם סיים לרצות זמן לא רב לפני שביצע את העבירות הנדונות בהליך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עיננו הרואות כי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לא הפנים את המסר מהסתבכותו בהליך הפלילי הקודם ושב לבצע עבירות שהינן עבירות חמורות יותר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360" w:before="0" w:after="0"/>
        <w:ind w:hanging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48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סבורים כי יש לגזור את עונשו של הנאשם בצדו הבינוני נמוך של המתחם ולגזור עליו עונשים כדלקמן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שימנו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מיום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מעצרו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</w:rPr>
        <w:t>3.3.2016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למשך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יעבור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במהלך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תקופה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עבירת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אלימות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מסוג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פשע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למשך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יעבור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במהלך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תקופה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זו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עבירת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אלימות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מסוג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איומים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פסילה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מלקבל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להחזיק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רישיון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נהיגה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למשך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פסילה על תנאי למשך שנתיים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פיצוי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לכל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אחד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איהאב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בשיר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ועראד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בשיר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בסך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firstLine="72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הפיצוי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ישולם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ליום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</w:rPr>
        <w:t>1.7.17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49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לעתירה להורות על חילוט הרכב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בחינת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מהותה ועוצמתה של הזיקה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בין העבירה לבין מכוניתו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מלמדת כי העתירה לחילוט הרכב הינה מוצדקת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אמת המידה היא במהותה ובעוצמתה של הזיקה בין החפץ לבין העבירה ובחומרתה של העבירה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ראה </w:t>
      </w:r>
      <w:hyperlink r:id="rId7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4148/92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מועד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22.9.1994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בעניינו קיימת זיקה ברורה וישירה בין העבירות לבין הרכב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הרכב היה כלי ישיר לביצוע העבירות כולן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אלה הקשורות לנשיאת הנשק והובלתו והירי לעבר המתלוננים והן עבירות התעבורה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ובלעדיו לא היו יכולות אלה להתבצע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ראה גם </w:t>
      </w:r>
      <w:hyperlink r:id="rId7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1000/15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אלחווה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3.7.2015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hyperlink r:id="rId7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2963/13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10.2.2014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בנסיבות אלה אמליץ לחברי לקבל את הבקשה ולהורות על חילוט הרכב מסוג הונדה סיוויק שמספרו </w:t>
      </w:r>
      <w:r>
        <w:rPr>
          <w:rFonts w:cs="David" w:ascii="David" w:hAnsi="David"/>
          <w:sz w:val="24"/>
          <w:szCs w:val="24"/>
        </w:rPr>
        <w:t>3017617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נוכח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נכונותו של הנאשם להשתלב בהליך טיפולי וההמלצה בתסקיר שירות המבחן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ממליצים לשב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 לשלב את הנאשם בתכנית טיפולית שתתאים לצרכיו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והכל בהתאם לנהלי שב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הודעה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זכות ערעור לבית המשפט העליון בתוך </w:t>
      </w:r>
      <w:r>
        <w:rPr>
          <w:rFonts w:cs="David" w:ascii="David" w:hAnsi="David"/>
          <w:b/>
          <w:bCs/>
          <w:sz w:val="24"/>
          <w:szCs w:val="24"/>
          <w:u w:val="single"/>
        </w:rPr>
        <w:t>45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יום מהיום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ניתן והודע היום כ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 אדר תשע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z w:val="24"/>
          <w:szCs w:val="24"/>
        </w:rPr>
        <w:t>21/03/2017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במעמד הנוכחים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jc w:val="start"/>
        <w:rPr/>
      </w:pPr>
      <w:r>
        <w:rPr/>
        <w:t>5129371</w:t>
      </w:r>
    </w:p>
    <w:tbl>
      <w:tblPr>
        <w:bidiVisual w:val="true"/>
        <w:tblW w:w="87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93"/>
        <w:gridCol w:w="280"/>
        <w:gridCol w:w="2674"/>
        <w:gridCol w:w="275"/>
        <w:gridCol w:w="2498"/>
      </w:tblGrid>
      <w:tr>
        <w:trPr/>
        <w:tc>
          <w:tcPr>
            <w:tcW w:w="299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 w:before="0" w:after="0"/>
              <w:ind w:end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אסתר</w:t>
            </w:r>
            <w:r>
              <w:rPr>
                <w:rFonts w:eastAsia="Calibri" w:cs="Calibri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הלמן</w:t>
            </w: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שופטת</w:t>
            </w:r>
            <w:r>
              <w:rPr>
                <w:rFonts w:eastAsia="Calibri" w:cs="Calibri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ind w:end="0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ס</w:t>
            </w:r>
            <w:r>
              <w:rPr>
                <w:rFonts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. </w:t>
            </w: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נשיא</w:t>
            </w:r>
            <w:r>
              <w:rPr>
                <w:rFonts w:ascii="Courier New" w:hAnsi="Courier New" w:eastAsia="Courier New" w:cs="Courier New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cs="Times New Roman" w:ascii="Courier New" w:hAnsi="Courier New"/>
                <w:b/>
                <w:bCs/>
                <w:sz w:val="20"/>
                <w:szCs w:val="20"/>
                <w:rtl w:val="true"/>
              </w:rPr>
              <w:t>[</w:t>
            </w: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אב</w:t>
            </w:r>
            <w:r>
              <w:rPr>
                <w:rFonts w:cs="Times New Roman" w:ascii="Courier New" w:hAnsi="Courier New"/>
                <w:b/>
                <w:bCs/>
                <w:sz w:val="20"/>
                <w:szCs w:val="20"/>
                <w:rtl w:val="true"/>
              </w:rPr>
              <w:t>"</w:t>
            </w: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ד</w:t>
            </w:r>
            <w:r>
              <w:rPr>
                <w:rFonts w:cs="Times New Roman" w:ascii="Courier New" w:hAnsi="Courier New"/>
                <w:b/>
                <w:bCs/>
                <w:sz w:val="20"/>
                <w:szCs w:val="20"/>
                <w:rtl w:val="true"/>
              </w:rPr>
              <w:t>]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snapToGrid w:val="false"/>
              <w:spacing w:lineRule="auto" w:line="360" w:before="0" w:after="0"/>
              <w:ind w:end="0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6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end="0"/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יפעת</w:t>
            </w:r>
            <w:r>
              <w:rPr>
                <w:rFonts w:ascii="Courier New" w:hAnsi="Courier New" w:eastAsia="Courier New" w:cs="Courier New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שיטרית</w:t>
            </w:r>
            <w:r>
              <w:rPr>
                <w:rFonts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שופטת</w:t>
            </w:r>
          </w:p>
        </w:tc>
        <w:tc>
          <w:tcPr>
            <w:tcW w:w="275" w:type="dxa"/>
            <w:tcBorders/>
          </w:tcPr>
          <w:p>
            <w:pPr>
              <w:pStyle w:val="Normal"/>
              <w:snapToGrid w:val="false"/>
              <w:spacing w:lineRule="auto" w:line="360" w:before="0" w:after="0"/>
              <w:ind w:end="0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9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 w:before="0" w:after="0"/>
              <w:ind w:end="0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סאאב</w:t>
            </w:r>
            <w:r>
              <w:rPr>
                <w:rFonts w:ascii="Courier New" w:hAnsi="Courier New" w:eastAsia="Courier New" w:cs="Courier New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דבור</w:t>
            </w:r>
            <w:r>
              <w:rPr>
                <w:rFonts w:cs="Times New Roman" w:ascii="Courier New" w:hAnsi="Courier New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Courier New" w:hAnsi="Courier New" w:cs="Times New Roman"/>
                <w:b/>
                <w:b/>
                <w:bCs/>
                <w:sz w:val="20"/>
                <w:sz w:val="20"/>
                <w:szCs w:val="20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 w:before="0" w:after="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240" w:before="0" w:after="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הוקלד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ידי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עדן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ונדר</w:t>
      </w:r>
    </w:p>
    <w:p>
      <w:pPr>
        <w:pStyle w:val="Normal"/>
        <w:keepNext w:val="true"/>
        <w:spacing w:before="0" w:after="0"/>
        <w:ind w:end="0"/>
        <w:jc w:val="start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Normal"/>
        <w:keepNext w:val="true"/>
        <w:spacing w:before="0" w:after="0"/>
        <w:ind w:end="0"/>
        <w:jc w:val="start"/>
        <w:rPr/>
      </w:pPr>
      <w:r>
        <w:rPr>
          <w:rFonts w:ascii="David" w:hAnsi="David" w:cs="David"/>
          <w:color w:val="000000"/>
          <w:rtl w:val="true"/>
        </w:rPr>
        <w:t>אסתר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הלמן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Calibri" w:cs="Calibri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hyperlink r:id="rId7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eastAsia="Calibri"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Normal"/>
        <w:spacing w:before="0" w:after="160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75"/>
      <w:footerReference w:type="default" r:id="rId7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41585-03-16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מועאד בן עלי הייב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257" w:before="0" w:after="160"/>
      <w:ind w:hanging="0" w:start="0" w:end="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David" w:hAnsi="David" w:cs="David"/>
      <w:sz w:val="24"/>
      <w:szCs w:val="24"/>
      <w:lang w:bidi="he-IL"/>
    </w:rPr>
  </w:style>
  <w:style w:type="character" w:styleId="FooterChar">
    <w:name w:val="Footer Char"/>
    <w:basedOn w:val="DefaultParagraphFont"/>
    <w:qFormat/>
    <w:rPr>
      <w:rFonts w:ascii="David" w:hAnsi="David" w:cs="David"/>
      <w:sz w:val="24"/>
      <w:szCs w:val="24"/>
      <w:lang w:bidi="he-IL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Hyperlink">
    <w:name w:val="Hyperlink"/>
    <w:basedOn w:val="DefaultParagraphFont"/>
    <w:rPr>
      <w:rFonts w:ascii="Times New Roman" w:hAnsi="Times New Roman" w:cs="Times New Roman"/>
      <w:color w:val="0000FF"/>
      <w:u w:val="single"/>
    </w:rPr>
  </w:style>
  <w:style w:type="character" w:styleId="TitleChar">
    <w:name w:val="Title Char"/>
    <w:basedOn w:val="DefaultParagraphFont"/>
    <w:qFormat/>
    <w:rPr>
      <w:rFonts w:ascii="Times New Roman" w:hAnsi="Times New Roman" w:cs="Times New Roman"/>
      <w:b/>
      <w:bCs/>
      <w:sz w:val="28"/>
      <w:szCs w:val="28"/>
      <w:u w:val="single"/>
      <w:shd w:fill="CCCCCC" w:val="clear"/>
      <w:lang w:val="en-IL" w:bidi="he-IL"/>
    </w:rPr>
  </w:style>
  <w:style w:type="character" w:styleId="LineNumber">
    <w:name w:val="line number"/>
    <w:basedOn w:val="DefaultParagraphFont"/>
    <w:rPr>
      <w:rFonts w:cs="Times New Roman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shd w:fill="CCCCCC" w:val="clear"/>
      <w:spacing w:lineRule="auto" w:line="480" w:before="0" w:after="0"/>
      <w:ind w:hanging="1701" w:start="1701" w:end="0"/>
      <w:jc w:val="center"/>
    </w:pPr>
    <w:rPr>
      <w:rFonts w:ascii="Times New Roman" w:hAnsi="Times New Roman" w:eastAsia="Calibri" w:cs="Times New Roman"/>
      <w:b/>
      <w:bCs/>
      <w:sz w:val="2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start="0" w:end="0"/>
      <w:jc w:val="start"/>
    </w:pPr>
    <w:rPr>
      <w:rFonts w:ascii="David" w:hAnsi="David" w:eastAsia="Calibri" w:cs="David"/>
      <w:sz w:val="24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start="0" w:end="0"/>
      <w:jc w:val="start"/>
    </w:pPr>
    <w:rPr>
      <w:rFonts w:ascii="David" w:hAnsi="David" w:eastAsia="Calibri" w:cs="David"/>
      <w:sz w:val="24"/>
      <w:szCs w:val="24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  <w:jc w:val="start"/>
    </w:pPr>
    <w:rPr>
      <w:rFonts w:eastAsia="Calibri"/>
    </w:rPr>
  </w:style>
  <w:style w:type="paragraph" w:styleId="BalloonText">
    <w:name w:val="Balloon Text"/>
    <w:basedOn w:val="Normal"/>
    <w:qFormat/>
    <w:pPr>
      <w:spacing w:lineRule="auto" w:line="240" w:before="0" w:after="0"/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29.2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b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2" TargetMode="External"/><Relationship Id="rId17" Type="http://schemas.openxmlformats.org/officeDocument/2006/relationships/hyperlink" Target="http://www.nevo.co.il/law/5227/10.a" TargetMode="External"/><Relationship Id="rId18" Type="http://schemas.openxmlformats.org/officeDocument/2006/relationships/hyperlink" Target="http://www.nevo.co.il/law/5227/43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law/74501/2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0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5227/43" TargetMode="External"/><Relationship Id="rId28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law/5227/10.a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yperlink" Target="http://www.nevo.co.il/law/5227/2" TargetMode="External"/><Relationship Id="rId32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law/74501/2" TargetMode="External"/><Relationship Id="rId34" Type="http://schemas.openxmlformats.org/officeDocument/2006/relationships/hyperlink" Target="http://www.nevo.co.il/law/74501" TargetMode="External"/><Relationship Id="rId35" Type="http://schemas.openxmlformats.org/officeDocument/2006/relationships/hyperlink" Target="http://www.nevo.co.il/case/6245959" TargetMode="External"/><Relationship Id="rId36" Type="http://schemas.openxmlformats.org/officeDocument/2006/relationships/hyperlink" Target="http://www.nevo.co.il/case/21472824" TargetMode="External"/><Relationship Id="rId37" Type="http://schemas.openxmlformats.org/officeDocument/2006/relationships/hyperlink" Target="http://www.nevo.co.il/case/5172636" TargetMode="External"/><Relationship Id="rId38" Type="http://schemas.openxmlformats.org/officeDocument/2006/relationships/hyperlink" Target="http://www.nevo.co.il/case/16932425" TargetMode="External"/><Relationship Id="rId39" Type="http://schemas.openxmlformats.org/officeDocument/2006/relationships/hyperlink" Target="http://www.nevo.co.il/case/17922225" TargetMode="External"/><Relationship Id="rId40" Type="http://schemas.openxmlformats.org/officeDocument/2006/relationships/hyperlink" Target="http://www.nevo.co.il/case/6865924" TargetMode="External"/><Relationship Id="rId41" Type="http://schemas.openxmlformats.org/officeDocument/2006/relationships/hyperlink" Target="http://www.nevo.co.il/case/333529" TargetMode="External"/><Relationship Id="rId42" Type="http://schemas.openxmlformats.org/officeDocument/2006/relationships/hyperlink" Target="http://www.nevo.co.il/law/70301/329.2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514237" TargetMode="External"/><Relationship Id="rId45" Type="http://schemas.openxmlformats.org/officeDocument/2006/relationships/hyperlink" Target="http://www.nevo.co.il/law/70301/40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d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e" TargetMode="External"/><Relationship Id="rId50" Type="http://schemas.openxmlformats.org/officeDocument/2006/relationships/hyperlink" Target="http://www.nevo.co.il/law/70301/40jc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13093721" TargetMode="External"/><Relationship Id="rId53" Type="http://schemas.openxmlformats.org/officeDocument/2006/relationships/hyperlink" Target="http://www.nevo.co.il/case/6018516" TargetMode="External"/><Relationship Id="rId54" Type="http://schemas.openxmlformats.org/officeDocument/2006/relationships/hyperlink" Target="http://www.nevo.co.il/case/20420489" TargetMode="External"/><Relationship Id="rId55" Type="http://schemas.openxmlformats.org/officeDocument/2006/relationships/hyperlink" Target="http://www.nevo.co.il/law/70301/40c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i" TargetMode="External"/><Relationship Id="rId58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j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20291305" TargetMode="External"/><Relationship Id="rId63" Type="http://schemas.openxmlformats.org/officeDocument/2006/relationships/hyperlink" Target="http://www.nevo.co.il/case/5580733" TargetMode="External"/><Relationship Id="rId64" Type="http://schemas.openxmlformats.org/officeDocument/2006/relationships/hyperlink" Target="http://www.nevo.co.il/case/6064371" TargetMode="External"/><Relationship Id="rId65" Type="http://schemas.openxmlformats.org/officeDocument/2006/relationships/hyperlink" Target="http://www.nevo.co.il/case/6135151" TargetMode="External"/><Relationship Id="rId66" Type="http://schemas.openxmlformats.org/officeDocument/2006/relationships/hyperlink" Target="http://www.nevo.co.il/case/5734605" TargetMode="External"/><Relationship Id="rId67" Type="http://schemas.openxmlformats.org/officeDocument/2006/relationships/hyperlink" Target="http://www.nevo.co.il/case/5573783" TargetMode="External"/><Relationship Id="rId68" Type="http://schemas.openxmlformats.org/officeDocument/2006/relationships/hyperlink" Target="http://www.nevo.co.il/case/5743421" TargetMode="External"/><Relationship Id="rId69" Type="http://schemas.openxmlformats.org/officeDocument/2006/relationships/hyperlink" Target="http://www.nevo.co.il/case/5699762" TargetMode="External"/><Relationship Id="rId70" Type="http://schemas.openxmlformats.org/officeDocument/2006/relationships/hyperlink" Target="http://www.nevo.co.il/case/6030667" TargetMode="External"/><Relationship Id="rId71" Type="http://schemas.openxmlformats.org/officeDocument/2006/relationships/hyperlink" Target="http://www.nevo.co.il/case/17922225" TargetMode="External"/><Relationship Id="rId72" Type="http://schemas.openxmlformats.org/officeDocument/2006/relationships/hyperlink" Target="http://www.nevo.co.il/case/20138359" TargetMode="External"/><Relationship Id="rId73" Type="http://schemas.openxmlformats.org/officeDocument/2006/relationships/hyperlink" Target="http://www.nevo.co.il/case/11312605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2017-04-05T10:36:00Z</dcterms:created>
  <dc:creator> </dc:creator>
  <dc:description/>
  <cp:keywords/>
  <dc:language>en-IL</dc:language>
  <cp:lastModifiedBy>orly</cp:lastModifiedBy>
  <dcterms:modified xsi:type="dcterms:W3CDTF">2017-04-05T10:36:00Z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מועאד בן עלי הייב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6245959;21472824;5172636;16932425;17922225:2;6865924;333529;2514237;13093721;6018516;20420489;20291305;5580733;6064371;6135151;5734605;5573783;5743421;5699762;6030667;20138359;11312605</vt:lpwstr>
  </property>
  <property fmtid="{D5CDD505-2E9C-101B-9397-08002B2CF9AE}" pid="9" name="CITY">
    <vt:lpwstr>נצ'</vt:lpwstr>
  </property>
  <property fmtid="{D5CDD505-2E9C-101B-9397-08002B2CF9AE}" pid="10" name="DATE">
    <vt:lpwstr>20170321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אסתר הלמן;יפעת שטרית;סאאב דבור</vt:lpwstr>
  </property>
  <property fmtid="{D5CDD505-2E9C-101B-9397-08002B2CF9AE}" pid="14" name="LAWLISTTMP1">
    <vt:lpwstr>70301/329.a.2;144.b;340a;329.2;040b;040d;040e;40jc;040c;040i;40ja;40jb</vt:lpwstr>
  </property>
  <property fmtid="{D5CDD505-2E9C-101B-9397-08002B2CF9AE}" pid="15" name="LAWLISTTMP2">
    <vt:lpwstr>5227/043;010.a;002</vt:lpwstr>
  </property>
  <property fmtid="{D5CDD505-2E9C-101B-9397-08002B2CF9AE}" pid="16" name="LAWLISTTMP3">
    <vt:lpwstr>74501/002</vt:lpwstr>
  </property>
  <property fmtid="{D5CDD505-2E9C-101B-9397-08002B2CF9AE}" pid="17" name="LAWYER">
    <vt:lpwstr>מייסא זועבי;ראיד עומרי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עומרי</vt:lpwstr>
  </property>
  <property fmtid="{D5CDD505-2E9C-101B-9397-08002B2CF9AE}" pid="24" name="NEWPARTA">
    <vt:lpwstr>41585</vt:lpwstr>
  </property>
  <property fmtid="{D5CDD505-2E9C-101B-9397-08002B2CF9AE}" pid="25" name="NEWPARTB">
    <vt:lpwstr>03</vt:lpwstr>
  </property>
  <property fmtid="{D5CDD505-2E9C-101B-9397-08002B2CF9AE}" pid="26" name="NEWPARTC">
    <vt:lpwstr>16</vt:lpwstr>
  </property>
  <property fmtid="{D5CDD505-2E9C-101B-9397-08002B2CF9AE}" pid="27" name="NEWPROC">
    <vt:lpwstr>תפח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</vt:lpwstr>
  </property>
  <property fmtid="{D5CDD505-2E9C-101B-9397-08002B2CF9AE}" pid="61" name="PADIDATE">
    <vt:lpwstr>20170405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390120170321</vt:lpwstr>
  </property>
  <property fmtid="{D5CDD505-2E9C-101B-9397-08002B2CF9AE}" pid="71" name="TYPE_N_DATE">
    <vt:lpwstr>39020170321</vt:lpwstr>
  </property>
  <property fmtid="{D5CDD505-2E9C-101B-9397-08002B2CF9AE}" pid="72" name="VOLUME">
    <vt:lpwstr/>
  </property>
  <property fmtid="{D5CDD505-2E9C-101B-9397-08002B2CF9AE}" pid="73" name="WORDNUMPAGES">
    <vt:lpwstr>16</vt:lpwstr>
  </property>
</Properties>
</file>