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41965-05-16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מצרי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tabs>
          <w:tab w:val="clear" w:pos="720"/>
          <w:tab w:val="left" w:pos="397" w:leader="none"/>
          <w:tab w:val="left" w:pos="794" w:leader="none"/>
          <w:tab w:val="left" w:pos="1191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tabs>
                <w:tab w:val="clear" w:pos="720"/>
                <w:tab w:val="left" w:pos="397" w:leader="none"/>
                <w:tab w:val="left" w:pos="794" w:leader="none"/>
                <w:tab w:val="left" w:pos="1191" w:leader="none"/>
              </w:tabs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פני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tabs>
                <w:tab w:val="clear" w:pos="720"/>
                <w:tab w:val="left" w:pos="397" w:leader="none"/>
                <w:tab w:val="left" w:pos="794" w:leader="none"/>
                <w:tab w:val="left" w:pos="1191" w:leader="none"/>
              </w:tabs>
              <w:spacing w:lineRule="auto" w:line="360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כבוד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סגן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נשיאה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השופט נתן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זלוצ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ובר</w:t>
            </w:r>
          </w:p>
          <w:p>
            <w:pPr>
              <w:pStyle w:val="Normal"/>
              <w:tabs>
                <w:tab w:val="clear" w:pos="720"/>
                <w:tab w:val="left" w:pos="397" w:leader="none"/>
                <w:tab w:val="left" w:pos="794" w:leader="none"/>
                <w:tab w:val="left" w:pos="1191" w:leader="none"/>
              </w:tabs>
              <w:spacing w:lineRule="auto" w:line="360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יעל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רז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לוי</w:t>
            </w:r>
          </w:p>
          <w:p>
            <w:pPr>
              <w:pStyle w:val="Normal"/>
              <w:tabs>
                <w:tab w:val="clear" w:pos="720"/>
                <w:tab w:val="left" w:pos="397" w:leader="none"/>
                <w:tab w:val="left" w:pos="794" w:leader="none"/>
                <w:tab w:val="left" w:pos="1191" w:leader="none"/>
              </w:tabs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שלמה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פרידלנדר</w:t>
            </w:r>
          </w:p>
          <w:p>
            <w:pPr>
              <w:pStyle w:val="Normal"/>
              <w:tabs>
                <w:tab w:val="clear" w:pos="720"/>
                <w:tab w:val="left" w:pos="397" w:leader="none"/>
                <w:tab w:val="left" w:pos="794" w:leader="none"/>
                <w:tab w:val="left" w:pos="1191" w:leader="none"/>
              </w:tabs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tabs>
                <w:tab w:val="clear" w:pos="720"/>
                <w:tab w:val="left" w:pos="397" w:leader="none"/>
                <w:tab w:val="left" w:pos="794" w:leader="none"/>
                <w:tab w:val="left" w:pos="1191" w:leader="none"/>
              </w:tabs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tabs>
                <w:tab w:val="clear" w:pos="720"/>
                <w:tab w:val="left" w:pos="397" w:leader="none"/>
                <w:tab w:val="left" w:pos="794" w:leader="none"/>
                <w:tab w:val="left" w:pos="1191" w:leader="none"/>
              </w:tabs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</w:p>
        </w:tc>
        <w:tc>
          <w:tcPr>
            <w:tcW w:w="4126" w:type="dxa"/>
            <w:tcBorders/>
          </w:tcPr>
          <w:p>
            <w:pPr>
              <w:pStyle w:val="Normal"/>
              <w:tabs>
                <w:tab w:val="clear" w:pos="720"/>
                <w:tab w:val="left" w:pos="397" w:leader="none"/>
                <w:tab w:val="left" w:pos="794" w:leader="none"/>
                <w:tab w:val="left" w:pos="1191" w:leader="none"/>
              </w:tabs>
              <w:spacing w:lineRule="auto" w:line="360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tabs>
                <w:tab w:val="clear" w:pos="720"/>
                <w:tab w:val="left" w:pos="397" w:leader="none"/>
                <w:tab w:val="left" w:pos="794" w:leader="none"/>
                <w:tab w:val="left" w:pos="1191" w:leader="none"/>
              </w:tabs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מסעד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מסעד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מפמ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פלילי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tabs>
                <w:tab w:val="clear" w:pos="720"/>
                <w:tab w:val="left" w:pos="397" w:leader="none"/>
                <w:tab w:val="left" w:pos="794" w:leader="none"/>
                <w:tab w:val="left" w:pos="1191" w:leader="none"/>
              </w:tabs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tabs>
                <w:tab w:val="clear" w:pos="720"/>
                <w:tab w:val="left" w:pos="397" w:leader="none"/>
                <w:tab w:val="left" w:pos="794" w:leader="none"/>
                <w:tab w:val="left" w:pos="1191" w:leader="none"/>
              </w:tabs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tabs>
                <w:tab w:val="clear" w:pos="720"/>
                <w:tab w:val="left" w:pos="397" w:leader="none"/>
                <w:tab w:val="left" w:pos="794" w:leader="none"/>
                <w:tab w:val="left" w:pos="1191" w:leader="none"/>
              </w:tabs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tabs>
                <w:tab w:val="clear" w:pos="720"/>
                <w:tab w:val="left" w:pos="397" w:leader="none"/>
                <w:tab w:val="left" w:pos="794" w:leader="none"/>
                <w:tab w:val="left" w:pos="1191" w:leader="none"/>
              </w:tabs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tabs>
                <w:tab w:val="clear" w:pos="720"/>
                <w:tab w:val="left" w:pos="397" w:leader="none"/>
                <w:tab w:val="left" w:pos="794" w:leader="none"/>
                <w:tab w:val="left" w:pos="1191" w:leader="none"/>
              </w:tabs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tabs>
                <w:tab w:val="clear" w:pos="720"/>
                <w:tab w:val="left" w:pos="397" w:leader="none"/>
                <w:tab w:val="left" w:pos="794" w:leader="none"/>
                <w:tab w:val="left" w:pos="1191" w:leader="none"/>
              </w:tabs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tabs>
                <w:tab w:val="clear" w:pos="720"/>
                <w:tab w:val="left" w:pos="397" w:leader="none"/>
                <w:tab w:val="left" w:pos="794" w:leader="none"/>
                <w:tab w:val="left" w:pos="1191" w:leader="none"/>
              </w:tabs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tabs>
                <w:tab w:val="clear" w:pos="720"/>
                <w:tab w:val="left" w:pos="397" w:leader="none"/>
                <w:tab w:val="left" w:pos="794" w:leader="none"/>
                <w:tab w:val="left" w:pos="1191" w:leader="none"/>
              </w:tabs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tabs>
                <w:tab w:val="clear" w:pos="720"/>
                <w:tab w:val="left" w:pos="397" w:leader="none"/>
                <w:tab w:val="left" w:pos="794" w:leader="none"/>
                <w:tab w:val="left" w:pos="1191" w:leader="none"/>
              </w:tabs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tabs>
                <w:tab w:val="clear" w:pos="720"/>
                <w:tab w:val="left" w:pos="397" w:leader="none"/>
                <w:tab w:val="left" w:pos="794" w:leader="none"/>
                <w:tab w:val="left" w:pos="1191" w:leader="none"/>
              </w:tabs>
              <w:spacing w:lineRule="auto" w:line="360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עזמי מצרי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ו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tabs>
                <w:tab w:val="clear" w:pos="720"/>
                <w:tab w:val="left" w:pos="397" w:leader="none"/>
                <w:tab w:val="left" w:pos="794" w:leader="none"/>
                <w:tab w:val="left" w:pos="1191" w:leader="none"/>
              </w:tabs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עאמר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tabs>
                <w:tab w:val="clear" w:pos="720"/>
                <w:tab w:val="left" w:pos="397" w:leader="none"/>
                <w:tab w:val="left" w:pos="794" w:leader="none"/>
                <w:tab w:val="left" w:pos="1191" w:leader="none"/>
              </w:tabs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tabs>
                <w:tab w:val="clear" w:pos="720"/>
                <w:tab w:val="left" w:pos="397" w:leader="none"/>
                <w:tab w:val="left" w:pos="794" w:leader="none"/>
                <w:tab w:val="left" w:pos="1191" w:leader="none"/>
              </w:tabs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tabs>
                <w:tab w:val="clear" w:pos="720"/>
                <w:tab w:val="left" w:pos="397" w:leader="none"/>
                <w:tab w:val="left" w:pos="794" w:leader="none"/>
                <w:tab w:val="left" w:pos="1191" w:leader="none"/>
              </w:tabs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tabs>
                <w:tab w:val="clear" w:pos="720"/>
                <w:tab w:val="left" w:pos="397" w:leader="none"/>
                <w:tab w:val="left" w:pos="794" w:leader="none"/>
                <w:tab w:val="left" w:pos="1191" w:leader="none"/>
              </w:tabs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</w:tr>
    </w:tbl>
    <w:p>
      <w:pPr>
        <w:pStyle w:val="Normal"/>
        <w:tabs>
          <w:tab w:val="clear" w:pos="720"/>
          <w:tab w:val="left" w:pos="397" w:leader="none"/>
          <w:tab w:val="left" w:pos="794" w:leader="none"/>
          <w:tab w:val="left" w:pos="1191" w:leader="none"/>
        </w:tabs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1971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26</w:t>
        </w:r>
      </w:hyperlink>
    </w:p>
    <w:p>
      <w:pPr>
        <w:pStyle w:val="Normal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 א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בפרק 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1945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למניעת הסתננות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עבירות ושיפוט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1954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</w:p>
    <w:p>
      <w:pPr>
        <w:pStyle w:val="Normal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tabs>
          <w:tab w:val="clear" w:pos="720"/>
          <w:tab w:val="left" w:pos="397" w:leader="none"/>
          <w:tab w:val="left" w:pos="794" w:leader="none"/>
          <w:tab w:val="left" w:pos="1191" w:leader="none"/>
        </w:tabs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tabs>
          <w:tab w:val="clear" w:pos="720"/>
          <w:tab w:val="left" w:pos="397" w:leader="none"/>
          <w:tab w:val="left" w:pos="794" w:leader="none"/>
          <w:tab w:val="left" w:pos="1191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tabs>
                <w:tab w:val="clear" w:pos="720"/>
                <w:tab w:val="left" w:pos="397" w:leader="none"/>
                <w:tab w:val="left" w:pos="794" w:leader="none"/>
                <w:tab w:val="left" w:pos="1191" w:leader="none"/>
              </w:tabs>
              <w:spacing w:lineRule="auto" w:line="480"/>
              <w:ind w:end="0"/>
              <w:jc w:val="center"/>
              <w:rPr>
                <w:rFonts w:ascii="Arial" w:hAnsi="Arial" w:cs="Arial"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40"/>
                <w:sz w:val="40"/>
                <w:szCs w:val="40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end="0"/>
        <w:jc w:val="both"/>
        <w:rPr/>
      </w:pPr>
      <w:r>
        <w:rPr>
          <w:rFonts w:ascii="Calibri" w:hAnsi="Calibri" w:cs="Calibri"/>
          <w:b/>
          <w:b/>
          <w:bCs/>
          <w:i/>
          <w:i/>
          <w:iCs/>
          <w:rtl w:val="true"/>
        </w:rPr>
        <w:t>השופט</w:t>
      </w:r>
      <w:r>
        <w:rPr>
          <w:rFonts w:ascii="Calibri" w:hAnsi="Calibri" w:cs="Calibri"/>
          <w:b/>
          <w:b/>
          <w:bCs/>
          <w:i/>
          <w:i/>
          <w:iCs/>
          <w:rtl w:val="true"/>
        </w:rPr>
        <w:t xml:space="preserve"> </w:t>
      </w:r>
      <w:r>
        <w:rPr>
          <w:rFonts w:ascii="Calibri" w:hAnsi="Calibri" w:cs="Calibri"/>
          <w:b/>
          <w:b/>
          <w:bCs/>
          <w:i/>
          <w:i/>
          <w:iCs/>
          <w:rtl w:val="true"/>
        </w:rPr>
        <w:t>שלמה</w:t>
      </w:r>
      <w:r>
        <w:rPr>
          <w:rFonts w:ascii="Calibri" w:hAnsi="Calibri" w:cs="Calibri"/>
          <w:b/>
          <w:b/>
          <w:bCs/>
          <w:i/>
          <w:i/>
          <w:iCs/>
          <w:rtl w:val="true"/>
        </w:rPr>
        <w:t xml:space="preserve"> </w:t>
      </w:r>
      <w:r>
        <w:rPr>
          <w:rFonts w:ascii="Calibri" w:hAnsi="Calibri" w:cs="Calibri"/>
          <w:b/>
          <w:b/>
          <w:bCs/>
          <w:i/>
          <w:i/>
          <w:iCs/>
          <w:rtl w:val="true"/>
        </w:rPr>
        <w:t>פרידלנדר</w:t>
      </w:r>
      <w:r>
        <w:rPr>
          <w:rFonts w:cs="Calibri" w:ascii="Calibri" w:hAnsi="Calibri"/>
          <w:b/>
          <w:bCs/>
          <w:i/>
          <w:iCs/>
          <w:rtl w:val="true"/>
        </w:rPr>
        <w:t>:</w:t>
      </w:r>
    </w:p>
    <w:p>
      <w:pPr>
        <w:pStyle w:val="Normal"/>
        <w:keepNext w:val="true"/>
        <w:widowControl w:val="false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ההרשעה</w:t>
      </w:r>
    </w:p>
    <w:p>
      <w:pPr>
        <w:pStyle w:val="Normal"/>
        <w:keepNext w:val="true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bookmarkStart w:id="8" w:name="ABSTRACT_START"/>
      <w:bookmarkStart w:id="9" w:name="_Ref454441315"/>
      <w:bookmarkEnd w:id="8"/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1989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ברצועת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לבגירות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bookmarkEnd w:id="9"/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color w:val="008100"/>
          <w:rtl w:val="true"/>
        </w:rPr>
        <w:t xml:space="preserve">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bookmarkStart w:id="10" w:name="ABSTRACT_END"/>
      <w:bookmarkEnd w:id="10"/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במדויק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קרי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כשהנאשם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לבגירות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וגיסו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חמאס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''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לטנק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עזה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טנק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''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לטנק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ניקוב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קליעים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רחוקים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הטנק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והחיילים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הצליחו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''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היעלם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שנפל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להרשיעו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hyperlink r:id="rId22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הנוער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שפיטה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ענישה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ודרכי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טיפול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התשל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cs="Calibri" w:ascii="Calibri" w:hAnsi="Calibri"/>
          <w:b/>
          <w:bCs/>
        </w:rPr>
        <w:t>1971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הנוער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hyperlink r:id="rId23">
        <w:r>
          <w:rPr>
            <w:rStyle w:val="Hyperlink"/>
            <w:rFonts w:cs="Calibri" w:ascii="Calibri" w:hAnsi="Calibri"/>
            <w:color w:val="0000FF"/>
            <w:u w:val="single"/>
          </w:rPr>
          <w:t>21</w:t>
        </w:r>
      </w:hyperlink>
      <w:r>
        <w:rPr>
          <w:rFonts w:cs="Calibri" w:ascii="Calibri" w:hAnsi="Calibri"/>
          <w:rtl w:val="true"/>
        </w:rPr>
        <w:t xml:space="preserve">]. </w:t>
      </w:r>
      <w:r>
        <w:rPr>
          <w:rFonts w:ascii="Calibri" w:hAnsi="Calibri" w:cs="Calibri"/>
          <w:rtl w:val="true"/>
        </w:rPr>
        <w:t>מכל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hyperlink r:id="rId24">
        <w:r>
          <w:rPr>
            <w:rStyle w:val="Hyperlink"/>
            <w:rFonts w:cs="Calibri" w:ascii="Calibri" w:hAnsi="Calibri"/>
            <w:color w:val="0000FF"/>
            <w:u w:val="single"/>
          </w:rPr>
          <w:t>24</w:t>
        </w:r>
      </w:hyperlink>
      <w:r>
        <w:rPr>
          <w:rFonts w:cs="Calibri" w:ascii="Calibri" w:hAnsi="Calibri"/>
          <w:rtl w:val="true"/>
        </w:rPr>
        <w:t xml:space="preserve">].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מאשררים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במדויק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2008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קרי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כשהנאשם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הצטרף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ללימודי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הגיהאד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האיסלמי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הפלסטיני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גא</w:t>
      </w:r>
      <w:r>
        <w:rPr>
          <w:rFonts w:cs="Calibri" w:ascii="Calibri" w:hAnsi="Calibri"/>
          <w:rtl w:val="true"/>
        </w:rPr>
        <w:t>''</w:t>
      </w:r>
      <w:r>
        <w:rPr>
          <w:rFonts w:ascii="Calibri" w:hAnsi="Calibri" w:cs="Calibri"/>
          <w:rtl w:val="true"/>
        </w:rPr>
        <w:t>פ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ופעילים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ריבאט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rtl w:val="true"/>
        </w:rPr>
        <w:t>שמירות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כניסת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''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גא</w:t>
      </w:r>
      <w:r>
        <w:rPr>
          <w:rFonts w:cs="Calibri" w:ascii="Calibri" w:hAnsi="Calibri"/>
          <w:rtl w:val="true"/>
        </w:rPr>
        <w:t>''</w:t>
      </w:r>
      <w:r>
        <w:rPr>
          <w:rFonts w:ascii="Calibri" w:hAnsi="Calibri" w:cs="Calibri"/>
          <w:rtl w:val="true"/>
        </w:rPr>
        <w:t>פ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והפעילים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ניקוב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''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ייכנסו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התאחדות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רצח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השלישי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21.4.2016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11:12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עזה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טיפס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שבשטח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מהגדר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70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''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Arial" w:hAnsi="Arial" w:cs="Arial"/>
        </w:rPr>
      </w:pP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</w:t>
      </w:r>
      <w:r>
        <w:rPr>
          <w:rFonts w:ascii="Arial" w:hAnsi="Arial" w:cs="Arial"/>
          <w:u w:val="single"/>
          <w:rtl w:val="true"/>
        </w:rPr>
        <w:t>אישום הראשון</w:t>
      </w:r>
      <w:r>
        <w:rPr>
          <w:rFonts w:ascii="Arial" w:hAnsi="Arial" w:cs="Arial"/>
          <w:rtl w:val="true"/>
        </w:rPr>
        <w:t xml:space="preserve"> הורשע הנאשם בחבלה בכוונה מחמירה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ניסיון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עבירות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החזקה ונשיאת נשק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ועבירות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החזקת תחמושת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עבירות לפי 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329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hyperlink r:id="rId26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hyperlink r:id="rId27"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28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סיפה ב</w:t>
      </w:r>
      <w:hyperlink r:id="rId29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התשל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>").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על פי </w:t>
      </w:r>
      <w:r>
        <w:rPr>
          <w:rFonts w:ascii="Arial" w:hAnsi="Arial" w:cs="Arial"/>
          <w:u w:val="single"/>
          <w:rtl w:val="true"/>
        </w:rPr>
        <w:t>האישום השני</w:t>
      </w:r>
      <w:r>
        <w:rPr>
          <w:rFonts w:ascii="Arial" w:hAnsi="Arial" w:cs="Arial"/>
          <w:rtl w:val="true"/>
        </w:rPr>
        <w:t xml:space="preserve"> הורשע הנאשם בחברות ופעילות בהתאחדות בלתי מותרת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עבירות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החזקה ונשיאת נשק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עבירות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החזקת תחמושת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וקשירת קשר לפשע – עבירות לפי 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85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לתקנות ההגנה</w:t>
        </w:r>
      </w:hyperlink>
      <w:r>
        <w:rPr>
          <w:rFonts w:ascii="Arial" w:hAnsi="Arial" w:cs="Arial"/>
          <w:rtl w:val="true"/>
        </w:rPr>
        <w:t xml:space="preserve"> ועבירות לפי 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33"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34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סיפה 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וסעיף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36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פי </w:t>
      </w:r>
      <w:r>
        <w:rPr>
          <w:rFonts w:ascii="Arial" w:hAnsi="Arial" w:cs="Arial"/>
          <w:u w:val="single"/>
          <w:rtl w:val="true"/>
        </w:rPr>
        <w:t>האישום השלישי</w:t>
      </w:r>
      <w:r>
        <w:rPr>
          <w:rFonts w:ascii="Arial" w:hAnsi="Arial" w:cs="Arial"/>
          <w:rtl w:val="true"/>
        </w:rPr>
        <w:t xml:space="preserve"> הורשע הנאשם בהסתננות – </w:t>
      </w:r>
      <w:r>
        <w:rPr>
          <w:rFonts w:ascii="Arial" w:hAnsi="Arial" w:cs="Arial"/>
          <w:b/>
          <w:b/>
          <w:bCs/>
          <w:rtl w:val="true"/>
        </w:rPr>
        <w:t xml:space="preserve">עבירה לפי </w:t>
      </w:r>
      <w:hyperlink r:id="rId37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2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hyperlink r:id="rId38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חוק למניעת הסתננות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עבירות ושיפוט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תשי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1954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יטענו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חופשי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יחרגו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keepNext w:val="true"/>
        <w:widowControl w:val="false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המבחן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לנוער</w:t>
      </w:r>
    </w:p>
    <w:p>
      <w:pPr>
        <w:pStyle w:val="Normal"/>
        <w:keepNext w:val="true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bookmarkStart w:id="11" w:name="_Ref454441284"/>
      <w:bookmarkEnd w:id="11"/>
      <w:r>
        <w:rPr>
          <w:rFonts w:ascii="Calibri" w:hAnsi="Calibri" w:cs="Calibri"/>
          <w:rtl w:val="true"/>
        </w:rPr>
        <w:t>מתסקיר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ומעוטת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מאחיותיו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נהרגה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איתן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''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חילופי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חמאס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לצה</w:t>
      </w:r>
      <w:r>
        <w:rPr>
          <w:rFonts w:cs="Calibri" w:ascii="Calibri" w:hAnsi="Calibri"/>
          <w:rtl w:val="true"/>
        </w:rPr>
        <w:t>''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בריאותית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לניתוח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היסטוריה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ולימודי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באוניברסיטה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בסיעוד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להפסיק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ולעבוד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הצטרף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יהאד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האסלמי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לקצבה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הארגון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לברוח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מהלחצים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להיעצר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לקצבה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מהחמאס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בחקירתו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מהאסירים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שבתאו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ביטחוניים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אוהב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מלחמות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בישראל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מדיכאון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מטופל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אביו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וילדיו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לחודשיים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27.2.17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כשהסליק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רדיו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האסירים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מהמשפחות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מרץ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בהשגחה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לסיכום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כניסתו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הפלסטינית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האסירים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הפלסטינית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keepNext w:val="true"/>
        <w:widowControl w:val="false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bookmarkStart w:id="12" w:name="_Ref454441284"/>
      <w:bookmarkEnd w:id="12"/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המאשימה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לעונש</w:t>
      </w:r>
    </w:p>
    <w:p>
      <w:pPr>
        <w:pStyle w:val="Normal"/>
        <w:keepNext w:val="true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הבסיסי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מאורגנת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בריבונותה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בשיתוף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החמאס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שייסקרו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קדמו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לזקוף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''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מסתננים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לצורכי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תפיסה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ושהייה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בישראל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תחקור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המסתנן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הרצועה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</w:rPr>
        <w:t>9-5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הירי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5-3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החמושה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ההסתננות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24-12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''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הצטרף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התחכום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במצטבר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widowControl w:val="false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keepNext w:val="true"/>
        <w:widowControl w:val="false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ההגנה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לעונש</w:t>
      </w:r>
    </w:p>
    <w:p>
      <w:pPr>
        <w:pStyle w:val="Normal"/>
        <w:keepNext w:val="true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הטעימה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וחמורות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המשתמע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היועמ</w:t>
      </w:r>
      <w:r>
        <w:rPr>
          <w:rFonts w:cs="Calibri" w:ascii="Calibri" w:hAnsi="Calibri"/>
          <w:rtl w:val="true"/>
        </w:rPr>
        <w:t>''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בחלוף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התיישנות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ההסתננות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הסתננות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לחלופין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לחפוף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ההסתננות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מאידיאולוגיה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ממצוקה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כעולה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להבדיל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הסתנן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להיעצר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</w:t>
      </w:r>
      <w:r>
        <w:rPr>
          <w:rFonts w:cs="Calibri" w:ascii="Calibri" w:hAnsi="Calibri"/>
          <w:rtl w:val="true"/>
        </w:rPr>
        <w:t>''</w:t>
      </w:r>
      <w:r>
        <w:rPr>
          <w:rFonts w:ascii="Calibri" w:hAnsi="Calibri" w:cs="Calibri"/>
          <w:rtl w:val="true"/>
        </w:rPr>
        <w:t>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cs="Calibri" w:ascii="Calibri" w:hAnsi="Calibri"/>
          <w:rtl w:val="true"/>
        </w:rPr>
        <w:t>''</w:t>
      </w:r>
      <w:r>
        <w:rPr>
          <w:rFonts w:ascii="Calibri" w:hAnsi="Calibri" w:cs="Calibri"/>
          <w:rtl w:val="true"/>
        </w:rPr>
        <w:t>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דכאוני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השגחה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בעצמו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לניתוח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ברצועת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שממחיש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שנשקפה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אפסית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אפסית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ההתיישנות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שייסקרו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במשפחתו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וילדיו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מפנה</w:t>
      </w:r>
      <w:r>
        <w:rPr>
          <w:rFonts w:ascii="Calibri" w:hAnsi="Calibri" w:cs="Calibri"/>
          <w:rtl w:val="true"/>
        </w:rPr>
        <w:t xml:space="preserve"> </w:t>
      </w:r>
      <w:hyperlink r:id="rId3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יא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40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המזכיר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widowControl w:val="false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keepNext w:val="true"/>
        <w:widowControl w:val="false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end="0"/>
        <w:jc w:val="both"/>
        <w:rPr/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מניין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>"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אירועים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>" (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לצורך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קביעת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ההולם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>)</w:t>
      </w:r>
    </w:p>
    <w:p>
      <w:pPr>
        <w:pStyle w:val="Normal"/>
        <w:keepNext w:val="true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התרחשו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ובמקומות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ההסתננות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שאירעו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ובגיר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מובחנים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בטיבם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ובמועדם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אירוע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נפרד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אירוע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לוודא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ובענישת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כלהלן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fldChar w:fldCharType="begin"/>
      </w:r>
      <w:r>
        <w:rPr>
          <w:rtl w:val="true"/>
          <w:rFonts w:ascii="Calibri" w:hAnsi="Calibri" w:cs="Calibri"/>
        </w:rPr>
        <w:instrText xml:space="preserve"> REF _Ref500762941 \r \r \h </w:instrText>
      </w:r>
      <w:r>
        <w:rPr>
          <w:rtl w:val="true"/>
          <w:rFonts w:ascii="Calibri" w:hAnsi="Calibri" w:cs="Calibri"/>
        </w:rPr>
        <w:fldChar w:fldCharType="separate"/>
      </w:r>
      <w:r>
        <w:rPr>
          <w:rtl w:val="true"/>
          <w:rFonts w:ascii="Calibri" w:hAnsi="Calibri" w:cs="Calibri"/>
        </w:rPr>
        <w:t>40</w:t>
      </w:r>
      <w:r>
        <w:rPr>
          <w:rtl w:val="true"/>
          <w:rFonts w:ascii="Calibri" w:hAnsi="Calibri" w:cs="Calibri"/>
        </w:rPr>
        <w:fldChar w:fldCharType="end"/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  <w:rtl w:val="true"/>
        </w:rPr>
        <w:fldChar w:fldCharType="begin"/>
      </w:r>
      <w:r>
        <w:rPr>
          <w:rtl w:val="true"/>
          <w:rFonts w:ascii="Calibri" w:hAnsi="Calibri" w:cs="Calibri"/>
        </w:rPr>
        <w:instrText xml:space="preserve"> REF _Ref500762956 \r \r \h </w:instrText>
      </w:r>
      <w:r>
        <w:rPr>
          <w:rtl w:val="true"/>
          <w:rFonts w:ascii="Calibri" w:hAnsi="Calibri" w:cs="Calibri"/>
        </w:rPr>
        <w:fldChar w:fldCharType="separate"/>
      </w:r>
      <w:r>
        <w:rPr>
          <w:rtl w:val="true"/>
          <w:rFonts w:ascii="Calibri" w:hAnsi="Calibri" w:cs="Calibri"/>
        </w:rPr>
        <w:t>41</w:t>
      </w:r>
      <w:r>
        <w:rPr>
          <w:rtl w:val="true"/>
          <w:rFonts w:ascii="Calibri" w:hAnsi="Calibri" w:cs="Calibri"/>
        </w:rPr>
        <w:fldChar w:fldCharType="end"/>
      </w:r>
      <w:r>
        <w:rPr>
          <w:rFonts w:cs="Calibri" w:ascii="Calibri" w:hAnsi="Calibri"/>
          <w:rtl w:val="true"/>
        </w:rPr>
        <w:t>].</w:t>
      </w:r>
    </w:p>
    <w:p>
      <w:pPr>
        <w:pStyle w:val="Normal"/>
        <w:widowControl w:val="false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highlight w:val="yellow"/>
          <w:u w:val="single"/>
        </w:rPr>
      </w:pPr>
      <w:r>
        <w:rPr>
          <w:rFonts w:cs="Calibri" w:ascii="Calibri" w:hAnsi="Calibri"/>
          <w:b/>
          <w:bCs/>
          <w:highlight w:val="yellow"/>
          <w:u w:val="single"/>
          <w:rtl w:val="true"/>
        </w:rPr>
      </w:r>
    </w:p>
    <w:p>
      <w:pPr>
        <w:pStyle w:val="Normal"/>
        <w:keepNext w:val="true"/>
        <w:widowControl w:val="false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הערכים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החברתיים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שנפגעו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keepNext w:val="true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הבסיסים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מאורגנת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ביטחונו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ריבונותה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4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המגמה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ממניעים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לאומניים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אידאולוגיים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ופוליטיים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הישנותן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ההרתעה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הקיומי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יוצאים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hyperlink r:id="rId4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7517/15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מוחמד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09.03.2016</w:t>
      </w:r>
      <w:r>
        <w:rPr>
          <w:rFonts w:cs="Calibri" w:ascii="Calibri" w:hAnsi="Calibri"/>
          <w:rtl w:val="true"/>
        </w:rPr>
        <w:t>)].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וחמור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בתוככי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פוגעות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העשויים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ומניעת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בריבונותה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keepNext w:val="true"/>
        <w:widowControl w:val="false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הנסיבות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הקשורות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בביצוע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העבירות</w:t>
      </w:r>
    </w:p>
    <w:p>
      <w:pPr>
        <w:pStyle w:val="Normal"/>
        <w:keepNext w:val="true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התאפיינו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מדוקדק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וממושכות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ובשני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תיווצר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ההזדמנות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המובילה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דווקא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הנגררת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משתקפת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משותפת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שוויוני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קטלני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כלומר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היעדרו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כמובן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hyperlink r:id="rId43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hyperlink r:id="rId44"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cs="Calibri" w:ascii="Calibri" w:hAnsi="Calibri"/>
            <w:color w:val="0000FF"/>
            <w:u w:val="single"/>
          </w:rPr>
          <w:t>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>].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לאומניות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מעוגנת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ברצועת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ולעתים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בהחלטה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להצטרף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keepNext w:val="true"/>
        <w:widowControl w:val="false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מדיניות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הענישה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בעבירות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ביטחון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ובעניינם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של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קטינים</w:t>
      </w:r>
    </w:p>
    <w:p>
      <w:pPr>
        <w:pStyle w:val="Normal"/>
        <w:keepNext w:val="true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120"/>
        <w:ind w:hanging="0" w:start="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3140/10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25.11.2012</w:t>
      </w:r>
      <w:r>
        <w:rPr>
          <w:rFonts w:cs="Calibri" w:ascii="Calibri" w:hAnsi="Calibri"/>
          <w:rtl w:val="true"/>
        </w:rPr>
        <w:t>) [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]:</w:t>
      </w:r>
    </w:p>
    <w:p>
      <w:pPr>
        <w:pStyle w:val="Normal"/>
        <w:widowControl w:val="false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end="0"/>
        <w:jc w:val="both"/>
        <w:rPr/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שבויה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כורחה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בלוחמה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עיקשת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הטרור</w:t>
      </w:r>
      <w:r>
        <w:rPr>
          <w:rFonts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cs="Calibri"/>
          <w:b/>
          <w:b/>
          <w:bCs/>
          <w:rtl w:val="true"/>
        </w:rPr>
        <w:t>העובדה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מומש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ניסיונו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לבצע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פעולות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חבלניות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כוחות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צה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איננה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צריכה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להוביל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למסקנה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ניתן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להסתפק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שאיננו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ומרתיע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ההפך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הנדרש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הטלת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לתקופה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ארוכה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המעורב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בצורה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ממשית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בהנחת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תשתית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הטרור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חלק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מהלוחמה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בפעילות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הטרור</w:t>
      </w:r>
      <w:r>
        <w:rPr>
          <w:rFonts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cs="Calibri"/>
          <w:b/>
          <w:b/>
          <w:bCs/>
          <w:rtl w:val="true"/>
        </w:rPr>
        <w:t>תפקידו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להגן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שלומו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</w:t>
      </w:r>
      <w:r>
        <w:rPr>
          <w:rFonts w:cs="Calibri" w:ascii="Calibri" w:hAnsi="Calibri"/>
          <w:b/>
          <w:bCs/>
          <w:rtl w:val="true"/>
        </w:rPr>
        <w:t>...".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bookmarkStart w:id="13" w:name="_Ref454964336"/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ניצבים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הטעמים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להבחנה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הפחותה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מסוגלותם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הפחותה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בשיקומם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במניעת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הארוך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hyperlink r:id="rId4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49/09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8.3.2009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דנציגר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].</w:t>
      </w:r>
      <w:bookmarkEnd w:id="13"/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bookmarkStart w:id="14" w:name="_Ref500844544"/>
      <w:r>
        <w:rPr>
          <w:rFonts w:ascii="Calibri" w:hAnsi="Calibri" w:cs="Calibri"/>
          <w:rtl w:val="true"/>
        </w:rPr>
        <w:t>המדיניות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והשיקומית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שסיכנו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hyperlink r:id="rId4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4760/11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19.6.2012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לדוגמא</w:t>
      </w:r>
      <w:r>
        <w:rPr>
          <w:rFonts w:ascii="Calibri" w:hAnsi="Calibri" w:cs="Calibri"/>
          <w:rtl w:val="true"/>
        </w:rPr>
        <w:t xml:space="preserve"> </w:t>
      </w:r>
      <w:hyperlink r:id="rId4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5961/13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26.3.2014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זיקוקים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הביטחון</w:t>
      </w:r>
      <w:r>
        <w:rPr>
          <w:rFonts w:cs="Calibri" w:ascii="Calibri" w:hAnsi="Calibri"/>
          <w:rtl w:val="true"/>
        </w:rPr>
        <w:t xml:space="preserve">]. </w:t>
      </w:r>
      <w:bookmarkEnd w:id="14"/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12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קטינות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כשלעצמה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חסינות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ולצדה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4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5026/12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10.2.2013</w:t>
      </w:r>
      <w:r>
        <w:rPr>
          <w:rFonts w:cs="Arial" w:ascii="Arial" w:hAnsi="Arial"/>
          <w:b/>
          <w:bCs/>
          <w:color w:val="333333"/>
          <w:rtl w:val="true"/>
        </w:rPr>
        <w:t>) [</w:t>
      </w:r>
      <w:r>
        <w:rPr>
          <w:rFonts w:ascii="Calibri" w:hAnsi="Calibri" w:cs="Calibri"/>
          <w:rtl w:val="true"/>
        </w:rPr>
        <w:t>פסקאות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  <w:softHyphen/>
        <w:t>-8</w:t>
      </w:r>
      <w:r>
        <w:rPr>
          <w:rFonts w:cs="Calibri" w:ascii="Calibri" w:hAnsi="Calibri"/>
          <w:rtl w:val="true"/>
        </w:rPr>
        <w:t>]:</w:t>
      </w:r>
    </w:p>
    <w:p>
      <w:pPr>
        <w:pStyle w:val="Normal"/>
        <w:widowControl w:val="false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120"/>
        <w:ind w:end="0"/>
        <w:jc w:val="both"/>
        <w:rPr/>
      </w:pPr>
      <w:r>
        <w:rPr>
          <w:rFonts w:cs="Calibri" w:ascii="Calibri" w:hAnsi="Calibri"/>
          <w:b/>
          <w:bCs/>
          <w:rtl w:val="true"/>
        </w:rPr>
        <w:t xml:space="preserve">"... </w:t>
      </w:r>
      <w:r>
        <w:rPr>
          <w:rFonts w:ascii="Calibri" w:hAnsi="Calibri" w:cs="Calibri"/>
          <w:b/>
          <w:b/>
          <w:bCs/>
          <w:rtl w:val="true"/>
        </w:rPr>
        <w:t>קטינוּת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כשהיא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לעצמה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יכול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שתהיה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כתריס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פורענות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כחסינוּת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מפני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אדרבה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כך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בהיקבץ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יחדיו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מיוחדות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העושה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כשהמעשה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חד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פעמי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ובמידרג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חומרה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נמוך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וכשהעושה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לבד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מהיותו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קטין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נמצא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ראוי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להתחשבות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וסיכויי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שיקומו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טובים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המה</w:t>
      </w:r>
      <w:r>
        <w:rPr>
          <w:rFonts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cs="Calibri"/>
          <w:b/>
          <w:b/>
          <w:bCs/>
          <w:rtl w:val="true"/>
        </w:rPr>
        <w:t>ההרתעה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הכרח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יגונה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end="0"/>
        <w:jc w:val="both"/>
        <w:rPr/>
      </w:pP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hyperlink r:id="rId5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5371/14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16.09.2014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].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bookmarkStart w:id="15" w:name="_Ref500762941"/>
      <w:r>
        <w:rPr>
          <w:rFonts w:ascii="Calibri" w:hAnsi="Calibri" w:cs="Calibri"/>
          <w:rtl w:val="true"/>
        </w:rPr>
        <w:t>בענישת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תחולה</w:t>
      </w:r>
      <w:r>
        <w:rPr>
          <w:rFonts w:ascii="Calibri" w:hAnsi="Calibri" w:cs="Calibri"/>
          <w:rtl w:val="true"/>
        </w:rPr>
        <w:t xml:space="preserve"> </w:t>
      </w:r>
      <w:hyperlink r:id="rId5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לסימן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בפרק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("</w:t>
      </w:r>
      <w:r>
        <w:rPr>
          <w:rFonts w:ascii="Calibri" w:hAnsi="Calibri" w:cs="Calibri"/>
          <w:rtl w:val="true"/>
        </w:rPr>
        <w:t>הבניית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ב</w:t>
      </w:r>
      <w:hyperlink r:id="rId52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הסטטוטוריים</w:t>
      </w:r>
      <w:r>
        <w:rPr>
          <w:rFonts w:cs="Calibri" w:ascii="Calibri" w:hAnsi="Calibri"/>
          <w:rtl w:val="true"/>
        </w:rPr>
        <w:t>") [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hyperlink r:id="rId53"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טו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4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הנוער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שפיטה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ענישה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ודרכי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טיפול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התשל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cs="Calibri" w:ascii="Calibri" w:hAnsi="Calibri"/>
          <w:b/>
          <w:bCs/>
        </w:rPr>
        <w:t>1971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הנוער</w:t>
      </w:r>
      <w:r>
        <w:rPr>
          <w:rFonts w:cs="Calibri" w:ascii="Calibri" w:hAnsi="Calibri"/>
          <w:rtl w:val="true"/>
        </w:rPr>
        <w:t xml:space="preserve">").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הסטטוטוריים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התאמתם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לקטין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לבגירות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וכמובן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בגיר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" – </w:t>
      </w:r>
      <w:r>
        <w:rPr>
          <w:rFonts w:ascii="Calibri" w:hAnsi="Calibri" w:cs="Calibri"/>
          <w:rtl w:val="true"/>
        </w:rPr>
        <w:t>יגבר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הסטטוטוריים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hyperlink r:id="rId5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121/16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11.2.2016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].</w:t>
      </w:r>
      <w:bookmarkEnd w:id="15"/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bookmarkStart w:id="16" w:name="_Ref500762956"/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6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בגירים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הנוער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hyperlink r:id="rId5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hyperlink r:id="rId58">
        <w:r>
          <w:rPr>
            <w:rStyle w:val="Hyperlink"/>
            <w:rFonts w:cs="Calibri" w:ascii="Calibri" w:hAnsi="Calibri"/>
            <w:color w:val="0000FF"/>
            <w:u w:val="single"/>
          </w:rPr>
          <w:t>26-24</w:t>
        </w:r>
      </w:hyperlink>
      <w:r>
        <w:rPr>
          <w:rFonts w:cs="Calibri" w:ascii="Calibri" w:hAnsi="Calibri"/>
          <w:rtl w:val="true"/>
        </w:rPr>
        <w:t xml:space="preserve">]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לכליאה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למוטב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hyperlink r:id="rId5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49/09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8.3.2009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דנציגר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  <w:softHyphen/>
        <w:softHyphen/>
        <w:softHyphen/>
        <w:softHyphen/>
        <w:softHyphen/>
        <w:softHyphen/>
        <w:t>-8</w:t>
      </w:r>
      <w:r>
        <w:rPr>
          <w:rFonts w:cs="Calibri" w:ascii="Calibri" w:hAnsi="Calibri"/>
          <w:rtl w:val="true"/>
        </w:rPr>
        <w:t xml:space="preserve">].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ההנחה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בקטינים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במבוגרים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>.</w:t>
      </w:r>
      <w:bookmarkEnd w:id="16"/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משקלם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מושג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במרכזה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לעבריינות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פתולוגיה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סוציאלית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לעבריינות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אידאולוגי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המאפיין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תושבי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הפלסטינית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הנשפטים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ערוצים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רלבנטיים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מאידך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גיסא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תושבי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הפלסטינית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העקרונית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להעניק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ההומניטרית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תישנה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לבגירות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כבגיר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כבגיר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רלבנטי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המגונן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השפעתה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רלבנטיות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לתפיסת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האשמה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הפחותה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keepNext w:val="true"/>
        <w:widowControl w:val="false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end="0"/>
        <w:jc w:val="both"/>
        <w:rPr/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מדיניות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הענישה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הנהוגה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בעבירות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כבענייננו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keepNext w:val="true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הקטינים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תקדימים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לחלוטין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ההוריות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הקרובות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שלהלן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אתמקד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hyperlink r:id="rId6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6040/14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חליל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אר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31.5.2016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כבן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35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פי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חברות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למטרות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ירי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טנקים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צה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>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שלא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פגע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אזרחי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קבענו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single"/>
        </w:rPr>
        <w:t>8-4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שנות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קבענו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3-1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גזרנו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single"/>
        </w:rPr>
        <w:t>6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שנות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וקבענו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בהעירו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לפנינו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תפ</w:t>
      </w:r>
      <w:r>
        <w:rPr>
          <w:rFonts w:cs="Calibri" w:ascii="Calibri" w:hAnsi="Calibri"/>
          <w:rtl w:val="true"/>
        </w:rPr>
        <w:t>''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hyperlink r:id="rId61">
        <w:r>
          <w:rPr>
            <w:rStyle w:val="Hyperlink"/>
            <w:rFonts w:cs="Calibri" w:ascii="Calibri" w:hAnsi="Calibri"/>
            <w:color w:val="0000FF"/>
            <w:u w:val="single"/>
          </w:rPr>
          <w:t>1103/06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יאסר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22.10.2012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לאחר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ניהול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הוכחות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שהסלימו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מגיוסו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בגיל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13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עד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פציעתו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ומעצרו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בגיל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19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u w:val="single"/>
          <w:rtl w:val="true"/>
        </w:rPr>
        <w:t>ירי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חיילי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צה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>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שלא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פגע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בהם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u w:val="single"/>
          <w:rtl w:val="true"/>
        </w:rPr>
        <w:t>ניסיון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לרצח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single"/>
        </w:rPr>
        <w:t>10-6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שנות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פירוט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שיבואר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דווקא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המקובץ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תפ</w:t>
      </w:r>
      <w:r>
        <w:rPr>
          <w:rFonts w:cs="Calibri" w:ascii="Calibri" w:hAnsi="Calibri"/>
          <w:rtl w:val="true"/>
        </w:rPr>
        <w:t>''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hyperlink r:id="rId62">
        <w:r>
          <w:rPr>
            <w:rStyle w:val="Hyperlink"/>
            <w:rFonts w:cs="Calibri" w:ascii="Calibri" w:hAnsi="Calibri"/>
            <w:color w:val="0000FF"/>
            <w:u w:val="single"/>
          </w:rPr>
          <w:t>1189-08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06.07.2010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כבן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19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פי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בהתאחדות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השתתפותו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("</w:t>
      </w:r>
      <w:r>
        <w:rPr>
          <w:rFonts w:ascii="Calibri" w:hAnsi="Calibri" w:cs="Calibri"/>
          <w:u w:val="single"/>
          <w:rtl w:val="true"/>
        </w:rPr>
        <w:t>ריבאט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בדומה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63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single"/>
        </w:rPr>
        <w:t>3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שנות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עוסקים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hyperlink r:id="rId6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''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5961/13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ואח</w:t>
      </w:r>
      <w:r>
        <w:rPr>
          <w:rFonts w:cs="Calibri" w:ascii="Calibri" w:hAnsi="Calibri"/>
          <w:b/>
          <w:bCs/>
          <w:rtl w:val="true"/>
        </w:rPr>
        <w:t>' (</w:t>
      </w:r>
      <w:r>
        <w:rPr>
          <w:rFonts w:ascii="Calibri" w:hAnsi="Calibri" w:cs="Calibri"/>
          <w:b/>
          <w:b/>
          <w:bCs/>
          <w:rtl w:val="true"/>
        </w:rPr>
        <w:t>קטינים</w:t>
      </w:r>
      <w:r>
        <w:rPr>
          <w:rFonts w:cs="Calibri" w:ascii="Calibri" w:hAnsi="Calibri"/>
          <w:b/>
          <w:bCs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26.03.2014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כבני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לאחר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ניהול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הוכחות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u w:val="single"/>
          <w:rtl w:val="true"/>
        </w:rPr>
        <w:t>השלכת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בקבוקי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תבערה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ויידוי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אבנים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לעבר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כוחות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הביטחון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שלא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פגעו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single"/>
        </w:rPr>
        <w:t>7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התחשבות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בקטינותם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בהיעדרו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ותסקירים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החיוביים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עדכניים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ששיקפו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ולהסתפק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באחריותם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וויתרו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והעמידו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u w:val="single"/>
          <w:rtl w:val="true"/>
        </w:rPr>
        <w:t>בית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המשפט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העליון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קבע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זה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אינו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חורג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ממדיניות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הענישה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בעבירות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ביטחון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דומות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קטינים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בהפנותו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לאסמכתאות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שהוזכרו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fldChar w:fldCharType="begin"/>
      </w:r>
      <w:r>
        <w:rPr>
          <w:rtl w:val="true"/>
          <w:rFonts w:ascii="Calibri" w:hAnsi="Calibri" w:cs="Calibri"/>
        </w:rPr>
        <w:instrText xml:space="preserve"> REF _Ref500844544 \r \r \h </w:instrText>
      </w:r>
      <w:r>
        <w:rPr>
          <w:rtl w:val="true"/>
          <w:rFonts w:ascii="Calibri" w:hAnsi="Calibri" w:cs="Calibri"/>
        </w:rPr>
        <w:fldChar w:fldCharType="separate"/>
      </w:r>
      <w:r>
        <w:rPr>
          <w:rtl w:val="true"/>
          <w:rFonts w:ascii="Calibri" w:hAnsi="Calibri" w:cs="Calibri"/>
        </w:rPr>
        <w:t>38</w:t>
      </w:r>
      <w:r>
        <w:rPr>
          <w:rtl w:val="true"/>
          <w:rFonts w:ascii="Calibri" w:hAnsi="Calibri" w:cs="Calibri"/>
        </w:rPr>
        <w:fldChar w:fldCharType="end"/>
      </w:r>
      <w:r>
        <w:rPr>
          <w:rFonts w:cs="Calibri" w:ascii="Calibri" w:hAnsi="Calibri"/>
          <w:rtl w:val="true"/>
        </w:rPr>
        <w:t xml:space="preserve">];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הזכירה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hyperlink r:id="rId6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4876/12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ירי</w:t>
      </w:r>
      <w:r>
        <w:rPr>
          <w:rFonts w:cs="Calibri" w:ascii="Calibri" w:hAnsi="Calibri"/>
          <w:rtl w:val="true"/>
        </w:rPr>
        <w:t xml:space="preserve">), </w:t>
      </w:r>
      <w:hyperlink r:id="rId6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56133-11-15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קטינה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לאיום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278/08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שבור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1068/07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דריסה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hyperlink r:id="rId6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21857-09-15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hyperlink r:id="rId6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37802-09-15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רחוקים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ייסקרו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כלהלן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hyperlink r:id="rId6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''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258/17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סלאח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10.8.2017</w:t>
      </w:r>
      <w:r>
        <w:rPr>
          <w:rFonts w:cs="Calibri" w:ascii="Calibri" w:hAnsi="Calibri"/>
          <w:rtl w:val="true"/>
        </w:rPr>
        <w:t xml:space="preserve">):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פי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הודאתם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יחסית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עוסקים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u w:val="single"/>
          <w:rtl w:val="true"/>
        </w:rPr>
        <w:t>יידוי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בקבוקי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תבערה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כוחות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הביטחון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הבגיר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40-25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3.5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ובעונש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hyperlink r:id="rId7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2337/13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קואסמה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16.9.2013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לאמור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אישום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הכולל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ידוי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בקבוק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תבערה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רכב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מגורים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הייתה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הרשעה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ייצור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ניסיון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וניסיון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לגרימת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חבלה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בכוונה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מחמירה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בין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12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חודשים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</w:t>
      </w:r>
      <w:r>
        <w:rPr>
          <w:rFonts w:cs="Calibri" w:ascii="Calibri" w:hAnsi="Calibri"/>
          <w:b/>
          <w:bCs/>
          <w:u w:val="single"/>
          <w:rtl w:val="true"/>
        </w:rPr>
        <w:t>-</w:t>
      </w:r>
      <w:r>
        <w:rPr>
          <w:rFonts w:cs="Calibri" w:ascii="Calibri" w:hAnsi="Calibri"/>
          <w:b/>
          <w:bCs/>
          <w:u w:val="single"/>
        </w:rPr>
        <w:t>40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חודשי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למבצע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העיקרי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ההדגשה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הוספה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בקטינותו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  <w:u w:val="single"/>
        </w:rPr>
        <w:t>3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שנות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hyperlink r:id="rId7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6861/16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15.2.2017</w:t>
      </w:r>
      <w:r>
        <w:rPr>
          <w:rFonts w:cs="Calibri" w:ascii="Calibri" w:hAnsi="Calibri"/>
          <w:rtl w:val="true"/>
        </w:rPr>
        <w:t xml:space="preserve">):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קטין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בחלק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פי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single"/>
        </w:rPr>
        <w:t>3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אישומים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בהכנה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ויידוי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בקבוקי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תבערה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כוחות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הביטחון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שלא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פגעו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single"/>
        </w:rPr>
        <w:t>45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hyperlink r:id="rId7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3582/13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פאדי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29.1.2014</w:t>
      </w:r>
      <w:r>
        <w:rPr>
          <w:rFonts w:cs="Calibri" w:ascii="Calibri" w:hAnsi="Calibri"/>
          <w:rtl w:val="true"/>
        </w:rPr>
        <w:t xml:space="preserve">):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בגירים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צעירים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  <w:u w:val="single"/>
        </w:rPr>
        <w:t>2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אישומים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יידוי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בקבוקי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תבערה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וזיקוקים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כוחות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הביטחון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שלא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פגעו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48-24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המשתתפים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single"/>
        </w:rPr>
        <w:t>40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מדיניות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ענישה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מקילה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יותר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בעבירות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]; </w:t>
      </w:r>
      <w:r>
        <w:rPr>
          <w:rFonts w:ascii="Calibri" w:hAnsi="Calibri" w:cs="Calibri"/>
          <w:rtl w:val="true"/>
        </w:rPr>
        <w:t>וקבע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להתחשב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בגילם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הצעיר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ובעברם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הפחית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האמור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</w:t>
      </w:r>
      <w:r>
        <w:rPr>
          <w:rFonts w:cs="Calibri" w:ascii="Calibri" w:hAnsi="Calibri"/>
          <w:u w:val="single"/>
          <w:rtl w:val="true"/>
        </w:rPr>
        <w:t>-</w:t>
      </w:r>
      <w:r>
        <w:rPr>
          <w:rFonts w:cs="Calibri" w:ascii="Calibri" w:hAnsi="Calibri"/>
          <w:u w:val="single"/>
        </w:rPr>
        <w:t>28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hyperlink r:id="rId7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3702/14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28.9.2014</w:t>
      </w:r>
      <w:r>
        <w:rPr>
          <w:rFonts w:cs="Calibri" w:ascii="Calibri" w:hAnsi="Calibri"/>
          <w:rtl w:val="true"/>
        </w:rPr>
        <w:t xml:space="preserve">):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קטינים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כבני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הודאתם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ייצור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ויידוי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בקבוקי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תבערה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מכוניות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single"/>
        </w:rPr>
        <w:t>22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הודגש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7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75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תבערה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וקטלני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ועניין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hyperlink r:id="rId7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262/06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7.4.2013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single"/>
        </w:rPr>
        <w:t>22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קטין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כבן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17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בגין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3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אירועים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יידוי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בקבוקי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תבערה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וב</w:t>
      </w:r>
      <w:r>
        <w:rPr>
          <w:rFonts w:cs="Calibri" w:ascii="Calibri" w:hAnsi="Calibri"/>
          <w:rtl w:val="true"/>
        </w:rPr>
        <w:t>-</w:t>
      </w:r>
      <w:hyperlink r:id="rId7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751/16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21.4.2016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single"/>
        </w:rPr>
        <w:t>20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קטין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כבן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16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בגין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אירוע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אחד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הכנה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ויידוי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בקבוק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תבערה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hyperlink r:id="rId7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6600/15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13.3.2016</w:t>
      </w:r>
      <w:r>
        <w:rPr>
          <w:rFonts w:cs="Calibri" w:ascii="Calibri" w:hAnsi="Calibri"/>
          <w:rtl w:val="true"/>
        </w:rPr>
        <w:t xml:space="preserve">):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קטין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עבר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ההתחייבות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ביידוי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בקבוק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תבערה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גיסא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ובהכרח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בקטינותם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מבצעיהם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מאידך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גיסא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single"/>
        </w:rPr>
        <w:t>9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בהפנותו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יושמה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]. </w:t>
      </w:r>
      <w:r>
        <w:rPr>
          <w:rFonts w:ascii="Calibri" w:hAnsi="Calibri" w:cs="Calibri"/>
          <w:rtl w:val="true"/>
        </w:rPr>
        <w:t>יוטעם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מבענייננו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לסיכום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סקירת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הרלבנטית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ביידוי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תבערה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בבקבוקי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תבערה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קטלני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ההיקש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בשינויים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המחויבים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highlight w:val="yellow"/>
          <w:u w:val="single"/>
        </w:rPr>
      </w:pPr>
      <w:r>
        <w:rPr>
          <w:rFonts w:cs="Calibri" w:ascii="Calibri" w:hAnsi="Calibri"/>
          <w:b/>
          <w:bCs/>
          <w:highlight w:val="yellow"/>
          <w:u w:val="single"/>
          <w:rtl w:val="true"/>
        </w:rPr>
      </w:r>
    </w:p>
    <w:p>
      <w:pPr>
        <w:pStyle w:val="Normal"/>
        <w:keepNext w:val="true"/>
        <w:widowControl w:val="false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end="0"/>
        <w:jc w:val="both"/>
        <w:rPr/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ההולם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–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סיכום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keepNext w:val="true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12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כלהלן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widowControl w:val="false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120"/>
        <w:ind w:end="0"/>
        <w:jc w:val="both"/>
        <w:rPr/>
      </w:pPr>
      <w:r>
        <w:rPr>
          <w:rFonts w:ascii="Calibri" w:hAnsi="Calibri" w:cs="Calibri"/>
          <w:rtl w:val="true"/>
        </w:rPr>
        <w:t>באישום</w:t>
      </w:r>
      <w:r>
        <w:rPr>
          <w:rFonts w:cs="Calibri" w:ascii="Calibri" w:hAnsi="Calibri"/>
          <w:rtl w:val="true"/>
        </w:rPr>
        <w:t>/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הירי</w:t>
      </w:r>
      <w:r>
        <w:rPr>
          <w:rFonts w:cs="Calibri" w:ascii="Calibri" w:hAnsi="Calibri"/>
          <w:rtl w:val="true"/>
        </w:rPr>
        <w:t xml:space="preserve">):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שנסקרו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חיילי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צה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שלא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פגע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120"/>
        <w:ind w:end="0"/>
        <w:jc w:val="both"/>
        <w:rPr/>
      </w:pPr>
      <w:r>
        <w:rPr>
          <w:rFonts w:ascii="Calibri" w:hAnsi="Calibri" w:cs="Calibri"/>
          <w:rtl w:val="true"/>
        </w:rPr>
        <w:t>באישום</w:t>
      </w:r>
      <w:r>
        <w:rPr>
          <w:rFonts w:cs="Calibri" w:ascii="Calibri" w:hAnsi="Calibri"/>
          <w:rtl w:val="true"/>
        </w:rPr>
        <w:t>/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החמושה</w:t>
      </w:r>
      <w:r>
        <w:rPr>
          <w:rFonts w:cs="Calibri" w:ascii="Calibri" w:hAnsi="Calibri"/>
          <w:rtl w:val="true"/>
        </w:rPr>
        <w:t xml:space="preserve">): </w:t>
      </w:r>
      <w:r>
        <w:rPr>
          <w:rFonts w:cs="Calibri" w:ascii="Calibri" w:hAnsi="Calibri"/>
        </w:rPr>
        <w:t>4-2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end="0"/>
        <w:jc w:val="both"/>
        <w:rPr/>
      </w:pPr>
      <w:r>
        <w:rPr>
          <w:rFonts w:ascii="Calibri" w:hAnsi="Calibri" w:cs="Calibri"/>
          <w:rtl w:val="true"/>
        </w:rPr>
        <w:t>באישום</w:t>
      </w:r>
      <w:r>
        <w:rPr>
          <w:rFonts w:cs="Calibri" w:ascii="Calibri" w:hAnsi="Calibri"/>
          <w:rtl w:val="true"/>
        </w:rPr>
        <w:t>/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ההסתננות</w:t>
      </w:r>
      <w:r>
        <w:rPr>
          <w:rFonts w:cs="Calibri" w:ascii="Calibri" w:hAnsi="Calibri"/>
          <w:rtl w:val="true"/>
        </w:rPr>
        <w:t xml:space="preserve">):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בהסתננות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וכנראה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keepNext w:val="true"/>
        <w:widowControl w:val="false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גזירת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המתאים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לנאשם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לבגירות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ממשקלו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הגמול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ממשקלו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מאפיינים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ולעומק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hyperlink r:id="rId7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5371/14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16.9.2014</w:t>
      </w:r>
      <w:r>
        <w:rPr>
          <w:rFonts w:cs="Calibri" w:ascii="Calibri" w:hAnsi="Calibri"/>
          <w:rtl w:val="true"/>
        </w:rPr>
        <w:t xml:space="preserve">); </w:t>
      </w:r>
      <w:hyperlink r:id="rId8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7781/12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25.6.2013</w:t>
      </w:r>
      <w:r>
        <w:rPr>
          <w:rFonts w:cs="Calibri" w:ascii="Calibri" w:hAnsi="Calibri"/>
          <w:rtl w:val="true"/>
        </w:rPr>
        <w:t>)].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הידוע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ביטחוני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2008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21.4.16</w:t>
      </w:r>
      <w:r>
        <w:rPr>
          <w:rFonts w:cs="Calibri" w:ascii="Calibri" w:hAnsi="Calibri"/>
          <w:rtl w:val="true"/>
        </w:rPr>
        <w:t xml:space="preserve">) – </w:t>
      </w:r>
      <w:r>
        <w:rPr>
          <w:rFonts w:ascii="Calibri" w:hAnsi="Calibri" w:cs="Calibri"/>
          <w:rtl w:val="true"/>
        </w:rPr>
        <w:t>קרי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עצם חלוף הזמן הרב מאז המעשים עד ההעמדה לדין מהווה שיקול נוסף לקולא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נחוץ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הפועלים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האויב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ולהרחקת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המפגעים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משורותיה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מנקיטת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התגוננות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לסיכום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ההרתעה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מופחתת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הגמול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מאידך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גיסא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ולחיסכון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ובזמנם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הפרקליטות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ההודיה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באחריות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שהסתננותו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כנראה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להיעצר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תומכות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 חלוף הזמן הרב מביצוע המעשים עד ההעמדה לדין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והרפואיות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keepNext w:val="true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באנו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חברי ההרכב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לכלל הסכמה כי יש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sz w:val="16"/>
          <w:szCs w:val="16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בחפיפה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בחופף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widowControl w:val="false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keepNext w:val="true"/>
        <w:widowControl w:val="false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העונש</w:t>
      </w:r>
    </w:p>
    <w:p>
      <w:pPr>
        <w:pStyle w:val="Normal"/>
        <w:keepNext w:val="true"/>
        <w:widowControl w:val="false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12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המקובץ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גוזרים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120"/>
        <w:ind w:hanging="0" w:start="397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שיימנו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21.4.2016</w:t>
      </w:r>
      <w:r>
        <w:rPr>
          <w:rFonts w:cs="Calibri" w:ascii="Calibri" w:hAnsi="Calibri"/>
          <w:rtl w:val="true"/>
        </w:rPr>
        <w:t>);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hanging="0" w:start="397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tabs>
          <w:tab w:val="clear" w:pos="720"/>
          <w:tab w:val="left" w:pos="397" w:leader="none"/>
          <w:tab w:val="left" w:pos="794" w:leader="none"/>
          <w:tab w:val="left" w:pos="1191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זכות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ערעור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העליון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יום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tabs>
          <w:tab w:val="clear" w:pos="720"/>
          <w:tab w:val="left" w:pos="397" w:leader="none"/>
          <w:tab w:val="left" w:pos="794" w:leader="none"/>
          <w:tab w:val="left" w:pos="1191" w:leader="none"/>
        </w:tabs>
        <w:ind w:end="0"/>
        <w:jc w:val="start"/>
        <w:rPr/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טבת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דצמבר </w:t>
      </w:r>
      <w:r>
        <w:rPr>
          <w:rFonts w:cs="Arial" w:ascii="Arial" w:hAnsi="Arial"/>
          <w:b/>
          <w:bCs/>
        </w:rPr>
        <w:t>2017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tl w:val="true"/>
        </w:rPr>
        <w:t xml:space="preserve">   </w:t>
        <w:tab/>
        <w:tab/>
        <w:tab/>
        <w:tab/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0"/>
        <w:gridCol w:w="239"/>
        <w:gridCol w:w="2286"/>
        <w:gridCol w:w="300"/>
        <w:gridCol w:w="2737"/>
      </w:tblGrid>
      <w:tr>
        <w:trPr/>
        <w:tc>
          <w:tcPr>
            <w:tcW w:w="29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397" w:leader="none"/>
                <w:tab w:val="left" w:pos="794" w:leader="none"/>
                <w:tab w:val="left" w:pos="1191" w:leader="none"/>
              </w:tabs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397" w:leader="none"/>
                <w:tab w:val="left" w:pos="794" w:leader="none"/>
                <w:tab w:val="left" w:pos="1191" w:leader="none"/>
              </w:tabs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397" w:leader="none"/>
                <w:tab w:val="left" w:pos="794" w:leader="none"/>
                <w:tab w:val="left" w:pos="1191" w:leader="none"/>
              </w:tabs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397" w:leader="none"/>
                <w:tab w:val="left" w:pos="794" w:leader="none"/>
                <w:tab w:val="left" w:pos="1191" w:leader="none"/>
              </w:tabs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397" w:leader="none"/>
                <w:tab w:val="left" w:pos="794" w:leader="none"/>
                <w:tab w:val="left" w:pos="1191" w:leader="none"/>
              </w:tabs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  <w:tab w:val="left" w:pos="397" w:leader="none"/>
                <w:tab w:val="left" w:pos="794" w:leader="none"/>
                <w:tab w:val="left" w:pos="1191" w:leader="none"/>
              </w:tabs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נתן זלוצובר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 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tabs>
                <w:tab w:val="clear" w:pos="720"/>
                <w:tab w:val="left" w:pos="397" w:leader="none"/>
                <w:tab w:val="left" w:pos="794" w:leader="none"/>
                <w:tab w:val="left" w:pos="1191" w:leader="none"/>
              </w:tabs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סגן הנשיאה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tabs>
                <w:tab w:val="clear" w:pos="720"/>
                <w:tab w:val="left" w:pos="397" w:leader="none"/>
                <w:tab w:val="left" w:pos="794" w:leader="none"/>
                <w:tab w:val="left" w:pos="1191" w:leader="none"/>
              </w:tabs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397" w:leader="none"/>
                <w:tab w:val="left" w:pos="794" w:leader="none"/>
                <w:tab w:val="left" w:pos="1191" w:leader="none"/>
              </w:tabs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יעל רז לוי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300" w:type="dxa"/>
            <w:tcBorders/>
          </w:tcPr>
          <w:p>
            <w:pPr>
              <w:pStyle w:val="Normal"/>
              <w:tabs>
                <w:tab w:val="clear" w:pos="720"/>
                <w:tab w:val="left" w:pos="397" w:leader="none"/>
                <w:tab w:val="left" w:pos="794" w:leader="none"/>
                <w:tab w:val="left" w:pos="1191" w:leader="none"/>
              </w:tabs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397" w:leader="none"/>
                <w:tab w:val="left" w:pos="794" w:leader="none"/>
                <w:tab w:val="left" w:pos="1191" w:leader="none"/>
              </w:tabs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שלמה פרידלנדר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tabs>
          <w:tab w:val="clear" w:pos="720"/>
          <w:tab w:val="left" w:pos="397" w:leader="none"/>
          <w:tab w:val="left" w:pos="794" w:leader="none"/>
          <w:tab w:val="left" w:pos="1191" w:leader="none"/>
        </w:tabs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;David" w:hAnsi="David;David" w:cs="David;David"/>
          <w:color w:val="FFFFFF"/>
          <w:sz w:val="2"/>
          <w:szCs w:val="2"/>
        </w:rPr>
      </w:pPr>
      <w:r>
        <w:rPr>
          <w:rFonts w:cs="David;David" w:ascii="David;David" w:hAnsi="David;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;David" w:hAnsi="David;David" w:cs="David;David"/>
          <w:color w:val="000000"/>
          <w:sz w:val="22"/>
          <w:szCs w:val="22"/>
        </w:rPr>
      </w:pPr>
      <w:r>
        <w:rPr>
          <w:rFonts w:ascii="David;David" w:hAnsi="David;David"/>
          <w:color w:val="000000"/>
          <w:sz w:val="22"/>
          <w:sz w:val="22"/>
          <w:szCs w:val="22"/>
          <w:rtl w:val="true"/>
        </w:rPr>
        <w:t>נתן זלוצ</w:t>
      </w:r>
      <w:r>
        <w:rPr>
          <w:rFonts w:cs="David;David" w:ascii="David;David" w:hAnsi="David;David"/>
          <w:color w:val="000000"/>
          <w:sz w:val="22"/>
          <w:szCs w:val="22"/>
          <w:rtl w:val="true"/>
        </w:rPr>
        <w:t>'</w:t>
      </w:r>
      <w:r>
        <w:rPr>
          <w:rFonts w:ascii="David;David" w:hAnsi="David;David"/>
          <w:color w:val="000000"/>
          <w:sz w:val="22"/>
          <w:sz w:val="22"/>
          <w:szCs w:val="22"/>
          <w:rtl w:val="true"/>
        </w:rPr>
        <w:t xml:space="preserve">ובר </w:t>
      </w:r>
      <w:r>
        <w:rPr>
          <w:rFonts w:cs="David;David" w:ascii="David;David" w:hAnsi="David;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;David" w:hAnsi="David;David" w:cs="David;David"/>
          <w:color w:val="000000"/>
          <w:sz w:val="22"/>
          <w:szCs w:val="22"/>
          <w:u w:val="single"/>
        </w:rPr>
      </w:pPr>
      <w:r>
        <w:rPr>
          <w:rFonts w:cs="David;David" w:ascii="David;David" w:hAnsi="David;David"/>
          <w:color w:val="000000"/>
          <w:sz w:val="22"/>
          <w:szCs w:val="22"/>
          <w:u w:val="single"/>
          <w:rtl w:val="true"/>
        </w:rPr>
      </w:r>
    </w:p>
    <w:sectPr>
      <w:headerReference w:type="default" r:id="rId82"/>
      <w:footerReference w:type="default" r:id="rId83"/>
      <w:type w:val="nextPage"/>
      <w:pgSz w:w="11906" w:h="16838"/>
      <w:pgMar w:left="1701" w:right="1701" w:gutter="0" w:header="187" w:top="1701" w:footer="720" w:bottom="1701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David" w:hAnsi="David;David" w:cs="David;David"/>
        <w:color w:val="000000"/>
        <w:sz w:val="22"/>
        <w:szCs w:val="22"/>
      </w:rPr>
    </w:pPr>
    <w:r>
      <w:rPr>
        <w:rFonts w:ascii="David;David" w:hAnsi="David;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;David" w:ascii="David;David" w:hAnsi="David;David"/>
        <w:color w:val="000000"/>
        <w:sz w:val="22"/>
        <w:szCs w:val="22"/>
        <w:rtl w:val="true"/>
      </w:rPr>
      <w:t>(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ב</w:t>
    </w:r>
    <w:r>
      <w:rPr>
        <w:rFonts w:cs="David;David" w:ascii="David;David" w:hAnsi="David;David"/>
        <w:color w:val="000000"/>
        <w:sz w:val="22"/>
        <w:szCs w:val="22"/>
        <w:rtl w:val="true"/>
      </w:rPr>
      <w:t>"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ש</w:t>
    </w:r>
    <w:r>
      <w:rPr>
        <w:rFonts w:cs="David;David" w:ascii="David;David" w:hAnsi="David;David"/>
        <w:color w:val="000000"/>
        <w:sz w:val="22"/>
        <w:szCs w:val="22"/>
        <w:rtl w:val="true"/>
      </w:rPr>
      <w:t xml:space="preserve">) </w:t>
    </w:r>
    <w:r>
      <w:rPr>
        <w:rFonts w:cs="David;David" w:ascii="David;David" w:hAnsi="David;David"/>
        <w:color w:val="000000"/>
        <w:sz w:val="22"/>
        <w:szCs w:val="22"/>
      </w:rPr>
      <w:t>41965-05-16</w:t>
    </w:r>
    <w:r>
      <w:rPr>
        <w:rFonts w:cs="David;David" w:ascii="David;David" w:hAnsi="David;David"/>
        <w:color w:val="000000"/>
        <w:sz w:val="22"/>
        <w:szCs w:val="22"/>
        <w:rtl w:val="true"/>
      </w:rPr>
      <w:tab/>
      <w:t xml:space="preserve"> 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מדינת ישראל נ</w:t>
    </w:r>
    <w:r>
      <w:rPr>
        <w:rFonts w:cs="David;David" w:ascii="David;David" w:hAnsi="David;David"/>
        <w:color w:val="000000"/>
        <w:sz w:val="22"/>
        <w:szCs w:val="22"/>
        <w:rtl w:val="true"/>
      </w:rPr>
      <w:t xml:space="preserve">' </w:t>
    </w:r>
    <w:r>
      <w:rPr>
        <w:rFonts w:ascii="David;David" w:hAnsi="David;David"/>
        <w:color w:val="000000"/>
        <w:sz w:val="22"/>
        <w:sz w:val="22"/>
        <w:szCs w:val="22"/>
        <w:rtl w:val="true"/>
      </w:rPr>
      <w:t xml:space="preserve">עזמי מצרי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>
        <w:b w:val="false"/>
        <w:bCs w:val="false"/>
        <w:rFonts w:cs="Times New Roman"/>
        <w:color w:val="000000"/>
      </w:r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0"/>
        </w:tabs>
        <w:ind w:start="1080" w:hanging="360"/>
      </w:pPr>
      <w:rPr>
        <w:rFonts w:cs="Times New Roman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;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  <w:sz w:val="24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ascii="Times New Roman" w:hAnsi="Times New Roman" w:cs="David;David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ascii="Times New (W1);Times New Roman" w:hAnsi="Times New (W1);Times New Roman" w:cs="Times New (W1);Times New Roman"/>
      <w:color w:val="000000"/>
    </w:rPr>
  </w:style>
  <w:style w:type="character" w:styleId="WW8Num5z0">
    <w:name w:val="WW8Num5z0"/>
    <w:qFormat/>
    <w:rPr>
      <w:rFonts w:cs="Times New Roman"/>
      <w:b w:val="false"/>
      <w:bCs w:val="false"/>
      <w:color w:val="000000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ascii="Times New Roman" w:hAnsi="Times New Roman" w:cs="David;David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Times New Roman"/>
      <w:sz w:val="24"/>
    </w:rPr>
  </w:style>
  <w:style w:type="character" w:styleId="WW8Num8z1">
    <w:name w:val="WW8Num8z1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9z1">
    <w:name w:val="WW8Num9z1"/>
    <w:qFormat/>
    <w:rPr>
      <w:rFonts w:cs="Times New Roman"/>
    </w:rPr>
  </w:style>
  <w:style w:type="character" w:styleId="WW8Num10z0">
    <w:name w:val="WW8Num10z0"/>
    <w:qFormat/>
    <w:rPr/>
  </w:style>
  <w:style w:type="character" w:styleId="WW8Num11z0">
    <w:name w:val="WW8Num11z0"/>
    <w:qFormat/>
    <w:rPr>
      <w:rFonts w:ascii="Times New Roman" w:hAnsi="Times New Roman" w:cs="David;David"/>
    </w:rPr>
  </w:style>
  <w:style w:type="character" w:styleId="WW8Num11z1">
    <w:name w:val="WW8Num11z1"/>
    <w:qFormat/>
    <w:rPr>
      <w:rFonts w:cs="Times New Roman"/>
    </w:rPr>
  </w:style>
  <w:style w:type="character" w:styleId="WW8Num12z0">
    <w:name w:val="WW8Num12z0"/>
    <w:qFormat/>
    <w:rPr>
      <w:rFonts w:cs="Times New Roman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4z0">
    <w:name w:val="WW8Num14z0"/>
    <w:qFormat/>
    <w:rPr>
      <w:rFonts w:cs="Times New Roman"/>
      <w:sz w:val="24"/>
    </w:rPr>
  </w:style>
  <w:style w:type="character" w:styleId="WW8Num14z1">
    <w:name w:val="WW8Num14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harChar6">
    <w:name w:val=" Char Char6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5">
    <w:name w:val=" Char Char5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4">
    <w:name w:val=" Char Char4"/>
    <w:qFormat/>
    <w:rPr>
      <w:rFonts w:ascii="Times New Roman" w:hAnsi="Times New Roman" w:eastAsia="Times New Roman" w:cs="David;David"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;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Style12">
    <w:name w:val="טקסט הערה תו"/>
    <w:qFormat/>
    <w:rPr>
      <w:rFonts w:ascii="Times New Roman" w:hAnsi="Times New Roman" w:eastAsia="Times New Roman" w:cs="David;David"/>
      <w:sz w:val="20"/>
      <w:szCs w:val="20"/>
    </w:rPr>
  </w:style>
  <w:style w:type="character" w:styleId="CharChar1">
    <w:name w:val=" Char Char1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CharChar">
    <w:name w:val=" Char Char"/>
    <w:qFormat/>
    <w:rPr>
      <w:rFonts w:ascii="Times New Roman" w:hAnsi="Times New Roman" w:eastAsia="Times New Roman" w:cs="David;David"/>
      <w:b/>
      <w:bCs/>
      <w:sz w:val="20"/>
      <w:szCs w:val="20"/>
    </w:rPr>
  </w:style>
  <w:style w:type="character" w:styleId="CharChar2">
    <w:name w:val=" Char Char2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3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4">
    <w:name w:val="פיסקת רשימה"/>
    <w:basedOn w:val="Normal"/>
    <w:qFormat/>
    <w:pPr>
      <w:spacing w:lineRule="auto" w:line="360" w:before="0" w:after="160"/>
      <w:ind w:hanging="0" w:start="720" w:end="0"/>
      <w:contextualSpacing/>
    </w:pPr>
    <w:rPr>
      <w:rFonts w:ascii="Calibri" w:hAnsi="Calibri" w:cs="Calibri"/>
      <w:sz w:val="22"/>
    </w:rPr>
  </w:style>
  <w:style w:type="paragraph" w:styleId="Ruller4">
    <w:name w:val="Ruller 4 ממוספר"/>
    <w:basedOn w:val="Normal"/>
    <w:next w:val="Normal"/>
    <w:qFormat/>
    <w:pPr>
      <w:numPr>
        <w:ilvl w:val="0"/>
        <w:numId w:val="4"/>
      </w:numPr>
      <w:overflowPunct w:val="false"/>
      <w:autoSpaceDE w:val="false"/>
      <w:spacing w:lineRule="auto" w:line="360"/>
      <w:jc w:val="both"/>
    </w:pPr>
    <w:rPr>
      <w:rFonts w:ascii="Garamond" w:hAnsi="Garamond" w:cs="FrankRuehl"/>
      <w:spacing w:val="10"/>
      <w:szCs w:val="28"/>
    </w:rPr>
  </w:style>
  <w:style w:type="paragraph" w:styleId="CommentSubject">
    <w:name w:val="Comment Subject"/>
    <w:basedOn w:val="CommentText"/>
    <w:next w:val="CommentText"/>
    <w:qFormat/>
    <w:pPr>
      <w:spacing w:before="0" w:after="160"/>
    </w:pPr>
    <w:rPr>
      <w:rFonts w:ascii="Calibri" w:hAnsi="Calibri" w:cs="David;David"/>
      <w:b/>
      <w:bCs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48" TargetMode="External"/><Relationship Id="rId3" Type="http://schemas.openxmlformats.org/officeDocument/2006/relationships/hyperlink" Target="http://www.nevo.co.il/law/70348/1a" TargetMode="External"/><Relationship Id="rId4" Type="http://schemas.openxmlformats.org/officeDocument/2006/relationships/hyperlink" Target="http://www.nevo.co.il/law/70348/21" TargetMode="External"/><Relationship Id="rId5" Type="http://schemas.openxmlformats.org/officeDocument/2006/relationships/hyperlink" Target="http://www.nevo.co.il/law/70348/24" TargetMode="External"/><Relationship Id="rId6" Type="http://schemas.openxmlformats.org/officeDocument/2006/relationships/hyperlink" Target="http://www.nevo.co.il/law/70348/25" TargetMode="External"/><Relationship Id="rId7" Type="http://schemas.openxmlformats.org/officeDocument/2006/relationships/hyperlink" Target="http://www.nevo.co.il/law/70348/26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0i.4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329" TargetMode="External"/><Relationship Id="rId13" Type="http://schemas.openxmlformats.org/officeDocument/2006/relationships/hyperlink" Target="http://www.nevo.co.il/law/70301/329.a.2" TargetMode="External"/><Relationship Id="rId14" Type="http://schemas.openxmlformats.org/officeDocument/2006/relationships/hyperlink" Target="http://www.nevo.co.il/law/70301/40if.a" TargetMode="External"/><Relationship Id="rId15" Type="http://schemas.openxmlformats.org/officeDocument/2006/relationships/hyperlink" Target="http://www.nevo.co.il/law/70301/40ja" TargetMode="External"/><Relationship Id="rId16" Type="http://schemas.openxmlformats.org/officeDocument/2006/relationships/hyperlink" Target="http://www.nevo.co.il/law/70301/499.a.1" TargetMode="External"/><Relationship Id="rId17" Type="http://schemas.openxmlformats.org/officeDocument/2006/relationships/hyperlink" Target="http://www.nevo.co.il/law/70301/fCa1S" TargetMode="External"/><Relationship Id="rId18" Type="http://schemas.openxmlformats.org/officeDocument/2006/relationships/hyperlink" Target="http://www.nevo.co.il/law/73729" TargetMode="External"/><Relationship Id="rId19" Type="http://schemas.openxmlformats.org/officeDocument/2006/relationships/hyperlink" Target="http://www.nevo.co.il/law/73729/85.1.a" TargetMode="External"/><Relationship Id="rId20" Type="http://schemas.openxmlformats.org/officeDocument/2006/relationships/hyperlink" Target="http://www.nevo.co.il/law/72510" TargetMode="External"/><Relationship Id="rId21" Type="http://schemas.openxmlformats.org/officeDocument/2006/relationships/hyperlink" Target="http://www.nevo.co.il/law/72510/2" TargetMode="External"/><Relationship Id="rId22" Type="http://schemas.openxmlformats.org/officeDocument/2006/relationships/hyperlink" Target="http://www.nevo.co.il/law/70348" TargetMode="External"/><Relationship Id="rId23" Type="http://schemas.openxmlformats.org/officeDocument/2006/relationships/hyperlink" Target="http://www.nevo.co.il/law/70348/21" TargetMode="External"/><Relationship Id="rId24" Type="http://schemas.openxmlformats.org/officeDocument/2006/relationships/hyperlink" Target="http://www.nevo.co.il/law/70348/24" TargetMode="External"/><Relationship Id="rId25" Type="http://schemas.openxmlformats.org/officeDocument/2006/relationships/hyperlink" Target="http://www.nevo.co.il/law/70301/329.a.2" TargetMode="External"/><Relationship Id="rId26" Type="http://schemas.openxmlformats.org/officeDocument/2006/relationships/hyperlink" Target="http://www.nevo.co.il/law/70301/144.a" TargetMode="External"/><Relationship Id="rId27" Type="http://schemas.openxmlformats.org/officeDocument/2006/relationships/hyperlink" Target="http://www.nevo.co.il/law/70301/144.b" TargetMode="External"/><Relationship Id="rId28" Type="http://schemas.openxmlformats.org/officeDocument/2006/relationships/hyperlink" Target="http://www.nevo.co.il/law/70301/144.a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3729/85.1.a" TargetMode="External"/><Relationship Id="rId31" Type="http://schemas.openxmlformats.org/officeDocument/2006/relationships/hyperlink" Target="http://www.nevo.co.il/law/73729" TargetMode="External"/><Relationship Id="rId32" Type="http://schemas.openxmlformats.org/officeDocument/2006/relationships/hyperlink" Target="http://www.nevo.co.il/law/70301/144.a" TargetMode="External"/><Relationship Id="rId33" Type="http://schemas.openxmlformats.org/officeDocument/2006/relationships/hyperlink" Target="http://www.nevo.co.il/law/70301/144.b" TargetMode="External"/><Relationship Id="rId34" Type="http://schemas.openxmlformats.org/officeDocument/2006/relationships/hyperlink" Target="http://www.nevo.co.il/law/70301/144.a" TargetMode="External"/><Relationship Id="rId35" Type="http://schemas.openxmlformats.org/officeDocument/2006/relationships/hyperlink" Target="http://www.nevo.co.il/law/70301/499.a.1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2510/2" TargetMode="External"/><Relationship Id="rId38" Type="http://schemas.openxmlformats.org/officeDocument/2006/relationships/hyperlink" Target="http://www.nevo.co.il/law/72510" TargetMode="External"/><Relationship Id="rId39" Type="http://schemas.openxmlformats.org/officeDocument/2006/relationships/hyperlink" Target="http://www.nevo.co.il/law/70301/40ja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case/20888243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40i.4" TargetMode="External"/><Relationship Id="rId45" Type="http://schemas.openxmlformats.org/officeDocument/2006/relationships/hyperlink" Target="http://www.nevo.co.il/case/6244735" TargetMode="External"/><Relationship Id="rId46" Type="http://schemas.openxmlformats.org/officeDocument/2006/relationships/hyperlink" Target="http://www.nevo.co.il/case/2237972" TargetMode="External"/><Relationship Id="rId47" Type="http://schemas.openxmlformats.org/officeDocument/2006/relationships/hyperlink" Target="http://www.nevo.co.il/case/6245867" TargetMode="External"/><Relationship Id="rId48" Type="http://schemas.openxmlformats.org/officeDocument/2006/relationships/hyperlink" Target="http://www.nevo.co.il/case/10521289" TargetMode="External"/><Relationship Id="rId49" Type="http://schemas.openxmlformats.org/officeDocument/2006/relationships/hyperlink" Target="http://www.nevo.co.il/case/6246072" TargetMode="External"/><Relationship Id="rId50" Type="http://schemas.openxmlformats.org/officeDocument/2006/relationships/hyperlink" Target="http://www.nevo.co.il/case/17954529" TargetMode="External"/><Relationship Id="rId51" Type="http://schemas.openxmlformats.org/officeDocument/2006/relationships/hyperlink" Target="http://www.nevo.co.il/law/70301/fCa1S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40if.a" TargetMode="External"/><Relationship Id="rId54" Type="http://schemas.openxmlformats.org/officeDocument/2006/relationships/hyperlink" Target="http://www.nevo.co.il/law/70348" TargetMode="External"/><Relationship Id="rId55" Type="http://schemas.openxmlformats.org/officeDocument/2006/relationships/hyperlink" Target="http://www.nevo.co.il/case/20942142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48/1a" TargetMode="External"/><Relationship Id="rId58" Type="http://schemas.openxmlformats.org/officeDocument/2006/relationships/hyperlink" Target="http://www.nevo.co.il/law/70348/24;25;26" TargetMode="External"/><Relationship Id="rId59" Type="http://schemas.openxmlformats.org/officeDocument/2006/relationships/hyperlink" Target="http://www.nevo.co.il/case/2237972" TargetMode="External"/><Relationship Id="rId60" Type="http://schemas.openxmlformats.org/officeDocument/2006/relationships/hyperlink" Target="http://www.nevo.co.il/case/17947843" TargetMode="External"/><Relationship Id="rId61" Type="http://schemas.openxmlformats.org/officeDocument/2006/relationships/hyperlink" Target="http://www.nevo.co.il/case/2378644" TargetMode="External"/><Relationship Id="rId62" Type="http://schemas.openxmlformats.org/officeDocument/2006/relationships/hyperlink" Target="http://www.nevo.co.il/case/2383080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case/10521289" TargetMode="External"/><Relationship Id="rId65" Type="http://schemas.openxmlformats.org/officeDocument/2006/relationships/hyperlink" Target="http://www.nevo.co.il/case/5588206" TargetMode="External"/><Relationship Id="rId66" Type="http://schemas.openxmlformats.org/officeDocument/2006/relationships/hyperlink" Target="http://www.nevo.co.il/case/20752056" TargetMode="External"/><Relationship Id="rId67" Type="http://schemas.openxmlformats.org/officeDocument/2006/relationships/hyperlink" Target="http://www.nevo.co.il/case/20568491" TargetMode="External"/><Relationship Id="rId68" Type="http://schemas.openxmlformats.org/officeDocument/2006/relationships/hyperlink" Target="http://www.nevo.co.il/case/20587068" TargetMode="External"/><Relationship Id="rId69" Type="http://schemas.openxmlformats.org/officeDocument/2006/relationships/hyperlink" Target="http://www.nevo.co.il/case/22303605" TargetMode="External"/><Relationship Id="rId70" Type="http://schemas.openxmlformats.org/officeDocument/2006/relationships/hyperlink" Target="http://www.nevo.co.il/case/6859579" TargetMode="External"/><Relationship Id="rId71" Type="http://schemas.openxmlformats.org/officeDocument/2006/relationships/hyperlink" Target="http://www.nevo.co.il/case/22303556" TargetMode="External"/><Relationship Id="rId72" Type="http://schemas.openxmlformats.org/officeDocument/2006/relationships/hyperlink" Target="http://www.nevo.co.il/case/7011967" TargetMode="External"/><Relationship Id="rId73" Type="http://schemas.openxmlformats.org/officeDocument/2006/relationships/hyperlink" Target="http://www.nevo.co.il/case/18067750" TargetMode="External"/><Relationship Id="rId74" Type="http://schemas.openxmlformats.org/officeDocument/2006/relationships/hyperlink" Target="http://www.nevo.co.il/law/70301/329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case/6188919" TargetMode="External"/><Relationship Id="rId77" Type="http://schemas.openxmlformats.org/officeDocument/2006/relationships/hyperlink" Target="http://www.nevo.co.il/case/21472291" TargetMode="External"/><Relationship Id="rId78" Type="http://schemas.openxmlformats.org/officeDocument/2006/relationships/hyperlink" Target="http://www.nevo.co.il/case/20625423" TargetMode="External"/><Relationship Id="rId79" Type="http://schemas.openxmlformats.org/officeDocument/2006/relationships/hyperlink" Target="http://www.nevo.co.il/case/17954529" TargetMode="External"/><Relationship Id="rId80" Type="http://schemas.openxmlformats.org/officeDocument/2006/relationships/hyperlink" Target="http://www.nevo.co.il/case/6248029" TargetMode="External"/><Relationship Id="rId81" Type="http://schemas.openxmlformats.org/officeDocument/2006/relationships/hyperlink" Target="http://www.nevo.co.il/advertisements/nevo-100.doc" TargetMode="External"/><Relationship Id="rId82" Type="http://schemas.openxmlformats.org/officeDocument/2006/relationships/header" Target="header1.xml"/><Relationship Id="rId83" Type="http://schemas.openxmlformats.org/officeDocument/2006/relationships/footer" Target="footer1.xml"/><Relationship Id="rId84" Type="http://schemas.openxmlformats.org/officeDocument/2006/relationships/numbering" Target="numbering.xml"/><Relationship Id="rId85" Type="http://schemas.openxmlformats.org/officeDocument/2006/relationships/fontTable" Target="fontTable.xml"/><Relationship Id="rId86" Type="http://schemas.openxmlformats.org/officeDocument/2006/relationships/settings" Target="settings.xml"/><Relationship Id="rId8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2018-05-08T12:48:00Z</dcterms:created>
  <dc:creator> </dc:creator>
  <dc:description/>
  <cp:keywords/>
  <dc:language>en-IL</dc:language>
  <cp:lastModifiedBy>run</cp:lastModifiedBy>
  <dcterms:modified xsi:type="dcterms:W3CDTF">2018-05-08T12:48:00Z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עזמי מצרי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20888243;6244735;2237972:2;6245867;10521289:2;6246072;17954529:2;20942142;17947843;2378644;2383080;5588206;20752056;20568491;20587068;22303605;6859579;22303556;7011967;18067750;6188919;21472291;20625423;6248029</vt:lpwstr>
  </property>
  <property fmtid="{D5CDD505-2E9C-101B-9397-08002B2CF9AE}" pid="9" name="CITY">
    <vt:lpwstr>ב"ש</vt:lpwstr>
  </property>
  <property fmtid="{D5CDD505-2E9C-101B-9397-08002B2CF9AE}" pid="10" name="DATE">
    <vt:lpwstr>20171221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נתן זלוצ'ובר;יעל רז לוי;שלמה פרידלנדר</vt:lpwstr>
  </property>
  <property fmtid="{D5CDD505-2E9C-101B-9397-08002B2CF9AE}" pid="14" name="LAWLISTTMP1">
    <vt:lpwstr>70348/021;024:2;001a;025;026</vt:lpwstr>
  </property>
  <property fmtid="{D5CDD505-2E9C-101B-9397-08002B2CF9AE}" pid="15" name="LAWLISTTMP2">
    <vt:lpwstr>70301/329.a.2;144.a:4;144.b:2;499.a.1;40ja;040i.4;fCa1S;40if.a;329</vt:lpwstr>
  </property>
  <property fmtid="{D5CDD505-2E9C-101B-9397-08002B2CF9AE}" pid="16" name="LAWLISTTMP3">
    <vt:lpwstr>73729/085.1.a</vt:lpwstr>
  </property>
  <property fmtid="{D5CDD505-2E9C-101B-9397-08002B2CF9AE}" pid="17" name="LAWLISTTMP4">
    <vt:lpwstr>72510/002</vt:lpwstr>
  </property>
  <property fmtid="{D5CDD505-2E9C-101B-9397-08002B2CF9AE}" pid="18" name="LAWYER">
    <vt:lpwstr>מסעד מסעד ;עבד אבו עאמר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41965</vt:lpwstr>
  </property>
  <property fmtid="{D5CDD505-2E9C-101B-9397-08002B2CF9AE}" pid="25" name="NEWPARTB">
    <vt:lpwstr>05</vt:lpwstr>
  </property>
  <property fmtid="{D5CDD505-2E9C-101B-9397-08002B2CF9AE}" pid="26" name="NEWPARTC">
    <vt:lpwstr>16</vt:lpwstr>
  </property>
  <property fmtid="{D5CDD505-2E9C-101B-9397-08002B2CF9AE}" pid="27" name="NEWPROC">
    <vt:lpwstr>תפח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390020171221</vt:lpwstr>
  </property>
  <property fmtid="{D5CDD505-2E9C-101B-9397-08002B2CF9AE}" pid="37" name="TYPE_N_DATE">
    <vt:lpwstr>39020171221</vt:lpwstr>
  </property>
  <property fmtid="{D5CDD505-2E9C-101B-9397-08002B2CF9AE}" pid="38" name="VOLUME">
    <vt:lpwstr/>
  </property>
  <property fmtid="{D5CDD505-2E9C-101B-9397-08002B2CF9AE}" pid="39" name="WORDNUMPAGES">
    <vt:lpwstr>12</vt:lpwstr>
  </property>
</Properties>
</file>