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8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67"/>
        <w:gridCol w:w="3613"/>
      </w:tblGrid>
      <w:tr>
        <w:trPr>
          <w:trHeight w:val="418" w:hRule="exact"/>
        </w:trPr>
        <w:tc>
          <w:tcPr>
            <w:tcW w:w="8580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496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כרמל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מוסק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שירלי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רנר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1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45473-08-16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9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48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48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אלמנתסר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קראעין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גיורא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זילברשטיין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301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pacing w:val="24"/>
                <w:sz w:val="46"/>
                <w:szCs w:val="46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pacing w:val="24"/>
                <w:sz w:val="46"/>
                <w:sz w:val="46"/>
                <w:szCs w:val="46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pacing w:val="24"/>
                <w:sz w:val="46"/>
                <w:sz w:val="46"/>
                <w:szCs w:val="46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pacing w:val="24"/>
                <w:sz w:val="46"/>
                <w:sz w:val="46"/>
                <w:szCs w:val="46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pacing w:val="24"/>
                <w:sz w:val="38"/>
                <w:szCs w:val="38"/>
                <w:u w:val="single"/>
              </w:rPr>
            </w:pPr>
            <w:r>
              <w:rPr>
                <w:rFonts w:cs="FrankRuehl" w:ascii="Arial" w:hAnsi="Arial"/>
                <w:b/>
                <w:bCs/>
                <w:spacing w:val="24"/>
                <w:sz w:val="38"/>
                <w:szCs w:val="3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spacing w:val="22"/>
          <w:rtl w:val="true"/>
        </w:rPr>
        <w:t>הנאשם הורשע בעבירת רצח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300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)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</w:t>
      </w:r>
      <w:hyperlink r:id="rId19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חוק העונשין</w:t>
        </w:r>
      </w:hyperlink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תשל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 xml:space="preserve">ז – </w:t>
      </w:r>
      <w:r>
        <w:rPr>
          <w:rFonts w:cs="Arial" w:ascii="Arial" w:hAnsi="Arial"/>
          <w:spacing w:val="22"/>
        </w:rPr>
        <w:t>1977</w:t>
      </w:r>
      <w:r>
        <w:rPr>
          <w:rFonts w:cs="Arial" w:ascii="Arial" w:hAnsi="Arial"/>
          <w:spacing w:val="22"/>
          <w:rtl w:val="true"/>
        </w:rPr>
        <w:t xml:space="preserve"> (</w:t>
      </w:r>
      <w:r>
        <w:rPr>
          <w:rFonts w:ascii="Arial" w:hAnsi="Arial" w:cs="Arial"/>
          <w:spacing w:val="22"/>
          <w:rtl w:val="true"/>
        </w:rPr>
        <w:t>להלן</w:t>
      </w:r>
      <w:r>
        <w:rPr>
          <w:rFonts w:cs="Arial" w:ascii="Arial" w:hAnsi="Arial"/>
          <w:spacing w:val="22"/>
          <w:rtl w:val="true"/>
        </w:rPr>
        <w:t>:</w:t>
      </w:r>
      <w:r>
        <w:rPr>
          <w:rFonts w:cs="Arial" w:ascii="Arial" w:hAnsi="Arial"/>
          <w:b/>
          <w:bCs/>
          <w:spacing w:val="22"/>
          <w:rtl w:val="true"/>
        </w:rPr>
        <w:t xml:space="preserve"> "</w:t>
      </w:r>
      <w:r>
        <w:rPr>
          <w:rFonts w:ascii="Arial" w:hAnsi="Arial" w:cs="Arial"/>
          <w:b/>
          <w:b/>
          <w:bCs/>
          <w:spacing w:val="22"/>
          <w:rtl w:val="true"/>
        </w:rPr>
        <w:t>החוק</w:t>
      </w:r>
      <w:r>
        <w:rPr>
          <w:rFonts w:cs="Arial" w:ascii="Arial" w:hAnsi="Arial"/>
          <w:b/>
          <w:bCs/>
          <w:spacing w:val="22"/>
          <w:rtl w:val="true"/>
        </w:rPr>
        <w:t>")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בנשיאת נשק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עבירה לפי </w:t>
      </w:r>
      <w:hyperlink r:id="rId20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)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לחוק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ובהחזקת נשק – עבירה לפי </w:t>
      </w:r>
      <w:hyperlink r:id="rId21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)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לחוק</w:t>
      </w:r>
      <w:r>
        <w:rPr>
          <w:rFonts w:cs="Arial" w:ascii="Arial" w:hAnsi="Arial"/>
          <w:spacing w:val="22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pacing w:val="22"/>
          <w:sz w:val="22"/>
          <w:szCs w:val="28"/>
        </w:rPr>
      </w:pPr>
      <w:r>
        <w:rPr>
          <w:rFonts w:cs="FrankRuehl" w:ascii="Arial" w:hAnsi="Arial"/>
          <w:spacing w:val="22"/>
          <w:sz w:val="22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pacing w:val="22"/>
          <w:sz w:val="22"/>
          <w:szCs w:val="28"/>
        </w:rPr>
      </w:pPr>
      <w:r>
        <w:rPr>
          <w:rFonts w:cs="FrankRuehl" w:ascii="Arial" w:hAnsi="Arial"/>
          <w:spacing w:val="22"/>
          <w:sz w:val="22"/>
          <w:szCs w:val="28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>ואלה המעשים</w:t>
      </w:r>
      <w:r>
        <w:rPr>
          <w:rFonts w:cs="Arial" w:ascii="Arial" w:hAnsi="Arial"/>
          <w:spacing w:val="22"/>
          <w:rtl w:val="true"/>
        </w:rPr>
        <w:t xml:space="preserve">: </w:t>
      </w:r>
      <w:r>
        <w:rPr>
          <w:rFonts w:ascii="Arial" w:hAnsi="Arial" w:cs="Arial"/>
          <w:spacing w:val="22"/>
          <w:rtl w:val="true"/>
        </w:rPr>
        <w:t>הנאשם ומחמוד חג</w:t>
      </w:r>
      <w:r>
        <w:rPr>
          <w:rFonts w:cs="Arial" w:ascii="Arial" w:hAnsi="Arial"/>
          <w:spacing w:val="22"/>
          <w:rtl w:val="true"/>
        </w:rPr>
        <w:t>'</w:t>
      </w:r>
      <w:r>
        <w:rPr>
          <w:rFonts w:ascii="Arial" w:hAnsi="Arial" w:cs="Arial"/>
          <w:spacing w:val="22"/>
          <w:rtl w:val="true"/>
        </w:rPr>
        <w:t>אג</w:t>
      </w:r>
      <w:r>
        <w:rPr>
          <w:rFonts w:cs="Arial" w:ascii="Arial" w:hAnsi="Arial"/>
          <w:spacing w:val="22"/>
          <w:rtl w:val="true"/>
        </w:rPr>
        <w:t>' (</w:t>
      </w:r>
      <w:r>
        <w:rPr>
          <w:rFonts w:ascii="Arial" w:hAnsi="Arial" w:cs="Arial"/>
          <w:spacing w:val="22"/>
          <w:rtl w:val="true"/>
        </w:rPr>
        <w:t>להלן</w:t>
      </w:r>
      <w:r>
        <w:rPr>
          <w:rFonts w:cs="Arial" w:ascii="Arial" w:hAnsi="Arial"/>
          <w:spacing w:val="22"/>
          <w:rtl w:val="true"/>
        </w:rPr>
        <w:t>: "</w:t>
      </w:r>
      <w:r>
        <w:rPr>
          <w:rFonts w:ascii="Arial" w:hAnsi="Arial" w:cs="Arial"/>
          <w:b/>
          <w:b/>
          <w:bCs/>
          <w:spacing w:val="22"/>
          <w:rtl w:val="true"/>
        </w:rPr>
        <w:t>המנוח</w:t>
      </w:r>
      <w:r>
        <w:rPr>
          <w:rFonts w:cs="Arial" w:ascii="Arial" w:hAnsi="Arial"/>
          <w:spacing w:val="22"/>
          <w:rtl w:val="true"/>
        </w:rPr>
        <w:t xml:space="preserve">") </w:t>
      </w:r>
      <w:r>
        <w:rPr>
          <w:rFonts w:ascii="Arial" w:hAnsi="Arial" w:cs="Arial"/>
          <w:spacing w:val="22"/>
          <w:rtl w:val="true"/>
        </w:rPr>
        <w:t>הנם קרובי משפחה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בין השניים היה סכסוך קודם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זאת על רקע הירצחו של אביו של הנאשם בשנת </w:t>
      </w:r>
      <w:r>
        <w:rPr>
          <w:rFonts w:cs="Arial" w:ascii="Arial" w:hAnsi="Arial"/>
          <w:spacing w:val="22"/>
        </w:rPr>
        <w:t>2014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והפניית אצבע מאשימה בגין כך כלפי המנוח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בסמוך לחודש מרץ </w:t>
      </w:r>
      <w:r>
        <w:rPr>
          <w:rFonts w:cs="Arial" w:ascii="Arial" w:hAnsi="Arial"/>
          <w:spacing w:val="22"/>
        </w:rPr>
        <w:t>2016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הגיע לידי הנאשם אקדח מסוג ברטה ותת מקלע מסוג סקורפיון וכן תחמושת לכלי נשק אלה ורימוני גז</w:t>
      </w:r>
      <w:r>
        <w:rPr>
          <w:rFonts w:cs="Arial" w:ascii="Arial" w:hAnsi="Arial"/>
          <w:spacing w:val="22"/>
          <w:rtl w:val="true"/>
        </w:rPr>
        <w:t>.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והנאשם החזיק את כלי הנשק ורימוני הגז בתיק בביתו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ביום </w:t>
      </w:r>
      <w:r>
        <w:rPr>
          <w:rFonts w:cs="Arial" w:ascii="Arial" w:hAnsi="Arial"/>
          <w:spacing w:val="22"/>
        </w:rPr>
        <w:t>5/8/16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נהג הנאשם ברכב שכור</w:t>
      </w:r>
      <w:r>
        <w:rPr>
          <w:rFonts w:cs="Arial" w:ascii="Arial" w:hAnsi="Arial"/>
          <w:spacing w:val="22"/>
          <w:rtl w:val="true"/>
        </w:rPr>
        <w:t>,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שהיה שייך לאחיו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מוחמד קראעין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מסוג מאזדה </w:t>
      </w:r>
      <w:r>
        <w:rPr>
          <w:rFonts w:cs="Arial" w:ascii="Arial" w:hAnsi="Arial"/>
          <w:spacing w:val="22"/>
        </w:rPr>
        <w:t>3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כאשר התיק וכלי הנשק נמצאים במכונית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באותה עת נהג המנוח ברכבו מסוג פולקסוואגן ביחד עם בתו בת השנתיים</w:t>
      </w:r>
      <w:r>
        <w:rPr>
          <w:rFonts w:cs="Arial" w:ascii="Arial" w:hAnsi="Arial"/>
          <w:spacing w:val="22"/>
          <w:rtl w:val="true"/>
        </w:rPr>
        <w:t>,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בסמוך לביתו של המנוח ברחוב סאוויח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שם</w:t>
      </w:r>
      <w:r>
        <w:rPr>
          <w:rFonts w:ascii="Arial" w:hAnsi="Arial" w:cs="Arial"/>
          <w:spacing w:val="22"/>
          <w:rtl w:val="true"/>
        </w:rPr>
        <w:t xml:space="preserve"> נפגשו השניים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האחד מול השני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ועצרו זה מול זה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הנאשם הוציא את כלי הנשק מהתיק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ביד אחת החזיק את תת המקלע</w:t>
      </w:r>
      <w:r>
        <w:rPr>
          <w:rFonts w:cs="Arial" w:ascii="Arial" w:hAnsi="Arial"/>
          <w:spacing w:val="22"/>
          <w:rtl w:val="true"/>
        </w:rPr>
        <w:t>,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ואת האקדח נשא במכנסיו באזור המותן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הנאשם ירד מרכבו והחל לירות ממרחק של מטרים ספורים</w:t>
      </w:r>
      <w:r>
        <w:rPr>
          <w:rFonts w:cs="Arial" w:ascii="Arial" w:hAnsi="Arial"/>
          <w:spacing w:val="22"/>
          <w:rtl w:val="true"/>
        </w:rPr>
        <w:t>,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באמצעות תת המקלע לכיוון המנוח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כשהמנוח עדיין ברכבו ביחד עם בתו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המנוח יצא מרכבו והחל לנוס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הנאשם רדף אחריו תוך שהוא ממשיך לירות לעברו ופוגע בו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המנוח ניסה להסתתר מאחורי רכב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אולם הנאשם הגיע לכיוונו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המשיך לירות בו מטווח קצר באמצעות תת המקלע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המנוח ניסה לברוח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אולם התמוטט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הנאשם ירה במנוח מתת המקלע ולאחר שאזלה התחמושת בתת המקלע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הוציא הנאשם את האקדח וירה במנוח מספר כדורים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ולאחר מכן צעק</w:t>
      </w:r>
      <w:r>
        <w:rPr>
          <w:rFonts w:cs="Arial" w:ascii="Arial" w:hAnsi="Arial"/>
          <w:spacing w:val="22"/>
          <w:rtl w:val="true"/>
        </w:rPr>
        <w:t>: "</w:t>
      </w:r>
      <w:r>
        <w:rPr>
          <w:rFonts w:ascii="Arial" w:hAnsi="Arial" w:cs="Arial"/>
          <w:spacing w:val="22"/>
          <w:rtl w:val="true"/>
        </w:rPr>
        <w:t>נקמתי את הנקמה של אבי</w:t>
      </w:r>
      <w:r>
        <w:rPr>
          <w:rFonts w:cs="Arial" w:ascii="Arial" w:hAnsi="Arial"/>
          <w:spacing w:val="22"/>
          <w:rtl w:val="true"/>
        </w:rPr>
        <w:t xml:space="preserve">". </w:t>
      </w:r>
      <w:r>
        <w:rPr>
          <w:rFonts w:ascii="Arial" w:hAnsi="Arial" w:cs="Arial"/>
          <w:spacing w:val="22"/>
          <w:rtl w:val="true"/>
        </w:rPr>
        <w:t>בהמשך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הנאשם נכנס לרכבו ונמלט מהמקום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כאשר בדרכו השליך את כלי הנשק במקום שאינו ידוע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ונעצר לאחר כחצי שעה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לגופו של המנוח חדרו </w:t>
      </w:r>
      <w:r>
        <w:rPr>
          <w:rFonts w:cs="Arial" w:ascii="Arial" w:hAnsi="Arial"/>
          <w:spacing w:val="22"/>
        </w:rPr>
        <w:t>15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קלעים במקומות שונים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הוא נפצע באורח אנוש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ונפטר לאחר מספר שעות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Cs/>
          <w:spacing w:val="22"/>
        </w:rPr>
      </w:pPr>
      <w:r>
        <w:rPr>
          <w:rFonts w:cs="Arial" w:ascii="Arial" w:hAnsi="Arial"/>
          <w:bCs/>
          <w:spacing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Cs/>
          <w:spacing w:val="22"/>
        </w:rPr>
      </w:pPr>
      <w:r>
        <w:rPr>
          <w:rFonts w:ascii="Arial" w:hAnsi="Arial" w:cs="Arial"/>
          <w:bCs/>
          <w:spacing w:val="22"/>
          <w:rtl w:val="true"/>
        </w:rPr>
        <w:t>טיעוני הצדדים לעונש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Cs/>
          <w:spacing w:val="22"/>
        </w:rPr>
      </w:pPr>
      <w:r>
        <w:rPr>
          <w:rFonts w:ascii="Arial" w:hAnsi="Arial" w:cs="Arial"/>
          <w:bCs/>
          <w:spacing w:val="22"/>
          <w:rtl w:val="true"/>
        </w:rPr>
        <w:t>טענות המאשימה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spacing w:val="22"/>
        </w:rPr>
      </w:pPr>
      <w:r>
        <w:rPr>
          <w:rFonts w:cs="Arial" w:ascii="Arial" w:hAnsi="Arial"/>
          <w:bCs/>
          <w:spacing w:val="22"/>
        </w:rPr>
        <w:t>3</w:t>
      </w:r>
      <w:r>
        <w:rPr>
          <w:rFonts w:cs="Arial" w:ascii="Arial" w:hAnsi="Arial"/>
          <w:bCs/>
          <w:spacing w:val="22"/>
          <w:rtl w:val="true"/>
        </w:rPr>
        <w:t>.</w:t>
      </w:r>
      <w:r>
        <w:rPr>
          <w:rFonts w:cs="Arial" w:ascii="Arial" w:hAnsi="Arial"/>
          <w:bCs/>
          <w:spacing w:val="22"/>
          <w:rtl w:val="true"/>
        </w:rPr>
        <w:tab/>
      </w:r>
      <w:r>
        <w:rPr>
          <w:rFonts w:ascii="Arial" w:hAnsi="Arial" w:cs="Arial"/>
          <w:b/>
          <w:b/>
          <w:spacing w:val="22"/>
          <w:rtl w:val="true"/>
        </w:rPr>
        <w:t>המאשימה הפנתה לחומרת המעשים ונסיבותיהם</w:t>
      </w:r>
      <w:r>
        <w:rPr>
          <w:rFonts w:cs="Arial" w:ascii="Arial" w:hAnsi="Arial"/>
          <w:b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spacing w:val="22"/>
          <w:rtl w:val="true"/>
        </w:rPr>
        <w:t>לכך שהירי בוצע תוך שימוש בשני כלי נשק ובסמוך לבתו בת השנתיים של המנוח ותוך כדי מנוסת המנוח</w:t>
      </w:r>
      <w:r>
        <w:rPr>
          <w:rFonts w:cs="Arial" w:ascii="Arial" w:hAnsi="Arial"/>
          <w:b/>
          <w:spacing w:val="22"/>
          <w:rtl w:val="true"/>
        </w:rPr>
        <w:t xml:space="preserve">. </w:t>
      </w:r>
      <w:r>
        <w:rPr>
          <w:rFonts w:ascii="Arial" w:hAnsi="Arial" w:cs="Arial"/>
          <w:b/>
          <w:b/>
          <w:spacing w:val="22"/>
          <w:rtl w:val="true"/>
        </w:rPr>
        <w:t>מדובר בעבירת רצח שהיא החמורה מבין העבירות והנאשם הותיר משפחה פגועה ושבורה</w:t>
      </w:r>
      <w:r>
        <w:rPr>
          <w:rFonts w:cs="Arial" w:ascii="Arial" w:hAnsi="Arial"/>
          <w:b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spacing w:val="22"/>
          <w:rtl w:val="true"/>
        </w:rPr>
        <w:t>הסובלת ממצוקה כלכלית ונפשית עקב המעשה</w:t>
      </w:r>
      <w:r>
        <w:rPr>
          <w:rFonts w:cs="Arial" w:ascii="Arial" w:hAnsi="Arial"/>
          <w:b/>
          <w:spacing w:val="22"/>
          <w:rtl w:val="true"/>
        </w:rPr>
        <w:t xml:space="preserve">. </w:t>
      </w:r>
      <w:r>
        <w:rPr>
          <w:rFonts w:ascii="Arial" w:hAnsi="Arial" w:cs="Arial"/>
          <w:b/>
          <w:b/>
          <w:spacing w:val="22"/>
          <w:rtl w:val="true"/>
        </w:rPr>
        <w:t>המאשימה ביקשה להטיל על הנאשם מאסר עולם חובה כקבוע בחוק</w:t>
      </w:r>
      <w:r>
        <w:rPr>
          <w:rFonts w:cs="Arial" w:ascii="Arial" w:hAnsi="Arial"/>
          <w:b/>
          <w:spacing w:val="22"/>
          <w:rtl w:val="true"/>
        </w:rPr>
        <w:t xml:space="preserve">. </w:t>
      </w:r>
      <w:r>
        <w:rPr>
          <w:rFonts w:ascii="Arial" w:hAnsi="Arial" w:cs="Arial"/>
          <w:b/>
          <w:b/>
          <w:spacing w:val="22"/>
          <w:rtl w:val="true"/>
        </w:rPr>
        <w:t>נטען כי התיקון ל</w:t>
      </w:r>
      <w:hyperlink r:id="rId22">
        <w:r>
          <w:rPr>
            <w:rStyle w:val="Hyperlink"/>
            <w:rFonts w:ascii="Arial" w:hAnsi="Arial" w:cs="Arial"/>
            <w:b/>
            <w:b/>
            <w:color w:val="0000FF"/>
            <w:spacing w:val="22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spacing w:val="22"/>
          <w:rtl w:val="true"/>
        </w:rPr>
        <w:t xml:space="preserve"> אינו משנה ממצבו של הנאשם שכן</w:t>
      </w:r>
      <w:r>
        <w:rPr>
          <w:rFonts w:cs="Arial" w:ascii="Arial" w:hAnsi="Arial"/>
          <w:b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spacing w:val="22"/>
          <w:rtl w:val="true"/>
        </w:rPr>
        <w:t xml:space="preserve">גם על פי התיקון </w:t>
      </w:r>
      <w:r>
        <w:rPr>
          <w:rFonts w:ascii="Arial" w:hAnsi="Arial" w:cs="Arial"/>
          <w:b/>
          <w:b/>
          <w:spacing w:val="22"/>
          <w:rtl w:val="true"/>
        </w:rPr>
        <w:t>–</w:t>
      </w:r>
      <w:r>
        <w:rPr>
          <w:rFonts w:ascii="Arial" w:hAnsi="Arial" w:cs="Arial"/>
          <w:b/>
          <w:b/>
          <w:spacing w:val="22"/>
          <w:rtl w:val="true"/>
        </w:rPr>
        <w:t xml:space="preserve"> עונשו הוא מאסר עולם חובה</w:t>
      </w:r>
      <w:r>
        <w:rPr>
          <w:rFonts w:cs="Arial" w:ascii="Arial" w:hAnsi="Arial"/>
          <w:b/>
          <w:spacing w:val="22"/>
          <w:rtl w:val="true"/>
        </w:rPr>
        <w:t xml:space="preserve">. </w:t>
      </w:r>
      <w:r>
        <w:rPr>
          <w:rFonts w:ascii="Arial" w:hAnsi="Arial" w:cs="Arial"/>
          <w:b/>
          <w:b/>
          <w:spacing w:val="22"/>
          <w:rtl w:val="true"/>
        </w:rPr>
        <w:t>לעניין עבירות הנשק</w:t>
      </w:r>
      <w:r>
        <w:rPr>
          <w:rFonts w:cs="Arial" w:ascii="Arial" w:hAnsi="Arial"/>
          <w:b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spacing w:val="22"/>
          <w:rtl w:val="true"/>
        </w:rPr>
        <w:t xml:space="preserve">המתחם הוא </w:t>
      </w:r>
      <w:r>
        <w:rPr>
          <w:rFonts w:cs="Arial" w:ascii="Arial" w:hAnsi="Arial"/>
          <w:b/>
          <w:spacing w:val="22"/>
        </w:rPr>
        <w:t>4-8</w:t>
      </w:r>
      <w:r>
        <w:rPr>
          <w:rFonts w:cs="Arial" w:ascii="Arial" w:hAnsi="Arial"/>
          <w:b/>
          <w:spacing w:val="22"/>
          <w:rtl w:val="true"/>
        </w:rPr>
        <w:t xml:space="preserve"> </w:t>
      </w:r>
      <w:r>
        <w:rPr>
          <w:rFonts w:ascii="Arial" w:hAnsi="Arial" w:cs="Arial"/>
          <w:b/>
          <w:b/>
          <w:spacing w:val="22"/>
          <w:rtl w:val="true"/>
        </w:rPr>
        <w:t>שנות מאסר והתבקש לגזור על הנאשם</w:t>
      </w:r>
      <w:r>
        <w:rPr>
          <w:rFonts w:cs="Arial" w:ascii="Arial" w:hAnsi="Arial"/>
          <w:b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spacing w:val="22"/>
          <w:rtl w:val="true"/>
        </w:rPr>
        <w:t>במצטבר</w:t>
      </w:r>
      <w:r>
        <w:rPr>
          <w:rFonts w:cs="Arial" w:ascii="Arial" w:hAnsi="Arial"/>
          <w:b/>
          <w:spacing w:val="22"/>
          <w:rtl w:val="true"/>
        </w:rPr>
        <w:t xml:space="preserve">, </w:t>
      </w:r>
      <w:r>
        <w:rPr>
          <w:rFonts w:cs="Arial" w:ascii="Arial" w:hAnsi="Arial"/>
          <w:b/>
          <w:spacing w:val="22"/>
        </w:rPr>
        <w:t>6</w:t>
      </w:r>
      <w:r>
        <w:rPr>
          <w:rFonts w:cs="Arial" w:ascii="Arial" w:hAnsi="Arial"/>
          <w:b/>
          <w:spacing w:val="22"/>
          <w:rtl w:val="true"/>
        </w:rPr>
        <w:t xml:space="preserve"> </w:t>
      </w:r>
      <w:r>
        <w:rPr>
          <w:rFonts w:ascii="Arial" w:hAnsi="Arial" w:cs="Arial"/>
          <w:b/>
          <w:b/>
          <w:spacing w:val="22"/>
          <w:rtl w:val="true"/>
        </w:rPr>
        <w:t>שנות מאסר</w:t>
      </w:r>
      <w:r>
        <w:rPr>
          <w:rFonts w:cs="Arial" w:ascii="Arial" w:hAnsi="Arial"/>
          <w:b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spacing w:val="22"/>
          <w:rtl w:val="true"/>
        </w:rPr>
        <w:t>פיצוי לאשת המנוח ולשני ילדיו</w:t>
      </w:r>
      <w:r>
        <w:rPr>
          <w:rFonts w:cs="Arial" w:ascii="Arial" w:hAnsi="Arial"/>
          <w:b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spacing w:val="22"/>
          <w:rtl w:val="true"/>
        </w:rPr>
        <w:t>ומאסר מותנה</w:t>
      </w:r>
      <w:r>
        <w:rPr>
          <w:rFonts w:cs="Arial" w:ascii="Arial" w:hAnsi="Arial"/>
          <w:b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spacing w:val="22"/>
        </w:rPr>
      </w:pPr>
      <w:r>
        <w:rPr>
          <w:rFonts w:cs="Arial" w:ascii="Arial" w:hAnsi="Arial"/>
          <w:b/>
          <w:spacing w:val="22"/>
          <w:rtl w:val="true"/>
        </w:rPr>
        <w:tab/>
      </w:r>
      <w:r>
        <w:rPr>
          <w:rFonts w:ascii="Arial" w:hAnsi="Arial" w:cs="Arial"/>
          <w:b/>
          <w:b/>
          <w:spacing w:val="22"/>
          <w:rtl w:val="true"/>
        </w:rPr>
        <w:t xml:space="preserve">עוד נטען כי לא חלה אחריות מופחתת לפי </w:t>
      </w:r>
      <w:hyperlink r:id="rId23">
        <w:r>
          <w:rPr>
            <w:rStyle w:val="Hyperlink"/>
            <w:rFonts w:ascii="Arial" w:hAnsi="Arial" w:cs="Arial"/>
            <w:b/>
            <w:b/>
            <w:color w:val="0000FF"/>
            <w:spacing w:val="22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color w:val="0000FF"/>
            <w:spacing w:val="22"/>
            <w:u w:val="single"/>
          </w:rPr>
          <w:t>300</w:t>
        </w:r>
        <w:r>
          <w:rPr>
            <w:rStyle w:val="Hyperlink"/>
            <w:rFonts w:ascii="Arial" w:hAnsi="Arial" w:cs="Arial"/>
            <w:b/>
            <w:b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color w:val="0000FF"/>
            <w:spacing w:val="22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b/>
            <w:color w:val="0000FF"/>
            <w:spacing w:val="22"/>
            <w:u w:val="single"/>
            <w:rtl w:val="true"/>
          </w:rPr>
          <w:t>)</w:t>
        </w:r>
      </w:hyperlink>
      <w:r>
        <w:rPr>
          <w:rFonts w:cs="Arial" w:ascii="Arial" w:hAnsi="Arial"/>
          <w:b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spacing w:val="22"/>
          <w:rtl w:val="true"/>
        </w:rPr>
        <w:t>וכי רק במקרים חריגים ונדירים</w:t>
      </w:r>
      <w:r>
        <w:rPr>
          <w:rFonts w:cs="Arial" w:ascii="Arial" w:hAnsi="Arial"/>
          <w:b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spacing w:val="22"/>
          <w:rtl w:val="true"/>
        </w:rPr>
        <w:t>יעשה שימוש בהוראה זו</w:t>
      </w:r>
      <w:r>
        <w:rPr>
          <w:rFonts w:cs="Arial" w:ascii="Arial" w:hAnsi="Arial"/>
          <w:b/>
          <w:spacing w:val="22"/>
          <w:rtl w:val="true"/>
        </w:rPr>
        <w:t xml:space="preserve">. </w:t>
      </w:r>
      <w:r>
        <w:rPr>
          <w:rFonts w:ascii="Arial" w:hAnsi="Arial" w:cs="Arial"/>
          <w:b/>
          <w:b/>
          <w:spacing w:val="22"/>
          <w:rtl w:val="true"/>
        </w:rPr>
        <w:t xml:space="preserve">בנסיבות הספציפיות של המקרה </w:t>
      </w:r>
      <w:r>
        <w:rPr>
          <w:rFonts w:ascii="Arial" w:hAnsi="Arial" w:cs="Arial"/>
          <w:b/>
          <w:b/>
          <w:spacing w:val="22"/>
          <w:rtl w:val="true"/>
        </w:rPr>
        <w:t>–</w:t>
      </w:r>
      <w:r>
        <w:rPr>
          <w:rFonts w:ascii="Arial" w:hAnsi="Arial" w:cs="Arial"/>
          <w:b/>
          <w:b/>
          <w:spacing w:val="22"/>
          <w:rtl w:val="true"/>
        </w:rPr>
        <w:t xml:space="preserve"> חוות הדעת מטעם ההגנה התייחסה אך לכשירות ולא לאחריות</w:t>
      </w:r>
      <w:r>
        <w:rPr>
          <w:rFonts w:cs="Arial" w:ascii="Arial" w:hAnsi="Arial"/>
          <w:b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spacing w:val="22"/>
          <w:rtl w:val="true"/>
        </w:rPr>
        <w:t>על כן אין לה משמעות</w:t>
      </w:r>
      <w:r>
        <w:rPr>
          <w:rFonts w:cs="Arial" w:ascii="Arial" w:hAnsi="Arial"/>
          <w:b/>
          <w:spacing w:val="22"/>
          <w:rtl w:val="true"/>
        </w:rPr>
        <w:t xml:space="preserve">. </w:t>
      </w:r>
      <w:r>
        <w:rPr>
          <w:rFonts w:ascii="Arial" w:hAnsi="Arial" w:cs="Arial"/>
          <w:b/>
          <w:b/>
          <w:spacing w:val="22"/>
          <w:rtl w:val="true"/>
        </w:rPr>
        <w:t>פרופ</w:t>
      </w:r>
      <w:r>
        <w:rPr>
          <w:rFonts w:cs="Arial" w:ascii="Arial" w:hAnsi="Arial"/>
          <w:b/>
          <w:spacing w:val="22"/>
          <w:rtl w:val="true"/>
        </w:rPr>
        <w:t xml:space="preserve">' </w:t>
      </w:r>
      <w:r>
        <w:rPr>
          <w:rFonts w:ascii="Arial" w:hAnsi="Arial" w:cs="Arial"/>
          <w:b/>
          <w:b/>
          <w:spacing w:val="22"/>
          <w:rtl w:val="true"/>
        </w:rPr>
        <w:t xml:space="preserve">לוי </w:t>
      </w:r>
      <w:r>
        <w:rPr>
          <w:rFonts w:cs="Arial" w:ascii="Arial" w:hAnsi="Arial"/>
          <w:b/>
          <w:spacing w:val="22"/>
          <w:rtl w:val="true"/>
        </w:rPr>
        <w:t>(</w:t>
      </w:r>
      <w:r>
        <w:rPr>
          <w:rFonts w:ascii="Arial" w:hAnsi="Arial" w:cs="Arial"/>
          <w:b/>
          <w:b/>
          <w:spacing w:val="22"/>
          <w:rtl w:val="true"/>
        </w:rPr>
        <w:t>מטעם הנאשם</w:t>
      </w:r>
      <w:r>
        <w:rPr>
          <w:rFonts w:cs="Arial" w:ascii="Arial" w:hAnsi="Arial"/>
          <w:b/>
          <w:spacing w:val="22"/>
          <w:rtl w:val="true"/>
        </w:rPr>
        <w:t xml:space="preserve">) </w:t>
      </w:r>
      <w:r>
        <w:rPr>
          <w:rFonts w:ascii="Arial" w:hAnsi="Arial" w:cs="Arial"/>
          <w:b/>
          <w:b/>
          <w:spacing w:val="22"/>
          <w:rtl w:val="true"/>
        </w:rPr>
        <w:t>לא התייחס בחוות הדעת למצבו של הנאשם בזמן המעשה</w:t>
      </w:r>
      <w:r>
        <w:rPr>
          <w:rFonts w:cs="Arial" w:ascii="Arial" w:hAnsi="Arial"/>
          <w:b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spacing w:val="22"/>
          <w:rtl w:val="true"/>
        </w:rPr>
        <w:t xml:space="preserve">זאת מעבר לכך שנקבע </w:t>
      </w:r>
      <w:r>
        <w:rPr>
          <w:rFonts w:cs="Arial" w:ascii="Arial" w:hAnsi="Arial"/>
          <w:b/>
          <w:spacing w:val="22"/>
          <w:rtl w:val="true"/>
        </w:rPr>
        <w:t>(</w:t>
      </w:r>
      <w:r>
        <w:rPr>
          <w:rFonts w:ascii="Arial" w:hAnsi="Arial" w:cs="Arial"/>
          <w:b/>
          <w:b/>
          <w:spacing w:val="22"/>
          <w:rtl w:val="true"/>
        </w:rPr>
        <w:t xml:space="preserve">בפיסקה </w:t>
      </w:r>
      <w:r>
        <w:rPr>
          <w:rFonts w:cs="Arial" w:ascii="Arial" w:hAnsi="Arial"/>
          <w:b/>
          <w:spacing w:val="22"/>
        </w:rPr>
        <w:t>9</w:t>
      </w:r>
      <w:r>
        <w:rPr>
          <w:rFonts w:cs="Arial" w:ascii="Arial" w:hAnsi="Arial"/>
          <w:b/>
          <w:spacing w:val="22"/>
          <w:rtl w:val="true"/>
        </w:rPr>
        <w:t xml:space="preserve"> </w:t>
      </w:r>
      <w:r>
        <w:rPr>
          <w:rFonts w:ascii="Arial" w:hAnsi="Arial" w:cs="Arial"/>
          <w:b/>
          <w:b/>
          <w:spacing w:val="22"/>
          <w:rtl w:val="true"/>
        </w:rPr>
        <w:t>להכרעת הדין</w:t>
      </w:r>
      <w:r>
        <w:rPr>
          <w:rFonts w:cs="Arial" w:ascii="Arial" w:hAnsi="Arial"/>
          <w:b/>
          <w:spacing w:val="22"/>
          <w:rtl w:val="true"/>
        </w:rPr>
        <w:t xml:space="preserve">) </w:t>
      </w:r>
      <w:r>
        <w:rPr>
          <w:rFonts w:ascii="Arial" w:hAnsi="Arial" w:cs="Arial"/>
          <w:b/>
          <w:b/>
          <w:spacing w:val="22"/>
          <w:rtl w:val="true"/>
        </w:rPr>
        <w:t>דבר מצבו והבנתו של הנאשם את מעשיו</w:t>
      </w:r>
      <w:r>
        <w:rPr>
          <w:rFonts w:cs="Arial" w:ascii="Arial" w:hAnsi="Arial"/>
          <w:b/>
          <w:spacing w:val="22"/>
          <w:rtl w:val="true"/>
        </w:rPr>
        <w:t xml:space="preserve">. </w:t>
      </w:r>
      <w:r>
        <w:rPr>
          <w:rFonts w:ascii="Arial" w:hAnsi="Arial" w:cs="Arial"/>
          <w:b/>
          <w:b/>
          <w:spacing w:val="22"/>
          <w:rtl w:val="true"/>
        </w:rPr>
        <w:t>באשר לדברים שנאמרו בע</w:t>
      </w:r>
      <w:r>
        <w:rPr>
          <w:rFonts w:cs="Arial" w:ascii="Arial" w:hAnsi="Arial"/>
          <w:b/>
          <w:spacing w:val="22"/>
          <w:rtl w:val="true"/>
        </w:rPr>
        <w:t>"</w:t>
      </w:r>
      <w:r>
        <w:rPr>
          <w:rFonts w:ascii="Arial" w:hAnsi="Arial" w:cs="Arial"/>
          <w:b/>
          <w:b/>
          <w:spacing w:val="22"/>
          <w:rtl w:val="true"/>
        </w:rPr>
        <w:t xml:space="preserve">פ </w:t>
      </w:r>
      <w:r>
        <w:rPr>
          <w:rFonts w:cs="Arial" w:ascii="Arial" w:hAnsi="Arial"/>
          <w:b/>
          <w:spacing w:val="22"/>
        </w:rPr>
        <w:t>3095/15</w:t>
      </w:r>
      <w:r>
        <w:rPr>
          <w:rFonts w:cs="Arial" w:ascii="Arial" w:hAnsi="Arial"/>
          <w:b/>
          <w:spacing w:val="22"/>
          <w:rtl w:val="true"/>
        </w:rPr>
        <w:t xml:space="preserve"> </w:t>
      </w:r>
      <w:r>
        <w:rPr>
          <w:rFonts w:cs="Arial" w:ascii="Arial" w:hAnsi="Arial"/>
          <w:b/>
          <w:spacing w:val="22"/>
          <w:rtl w:val="true"/>
        </w:rPr>
        <w:t>–</w:t>
      </w:r>
      <w:r>
        <w:rPr>
          <w:rFonts w:cs="Arial" w:ascii="Arial" w:hAnsi="Arial"/>
          <w:bCs/>
          <w:spacing w:val="22"/>
          <w:rtl w:val="true"/>
        </w:rPr>
        <w:t xml:space="preserve"> </w:t>
      </w:r>
      <w:r>
        <w:rPr>
          <w:rFonts w:ascii="Arial" w:hAnsi="Arial" w:cs="Arial"/>
          <w:b/>
          <w:b/>
          <w:spacing w:val="22"/>
          <w:rtl w:val="true"/>
        </w:rPr>
        <w:t>שם נטען לפוסט טראומה</w:t>
      </w:r>
      <w:r>
        <w:rPr>
          <w:rFonts w:cs="Arial" w:ascii="Arial" w:hAnsi="Arial"/>
          <w:b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spacing w:val="22"/>
          <w:rtl w:val="true"/>
        </w:rPr>
        <w:t xml:space="preserve">נקבע כי זו לא עולה כדי מצוקה נפשית קשה </w:t>
      </w:r>
      <w:r>
        <w:rPr>
          <w:rFonts w:cs="Arial" w:ascii="Arial" w:hAnsi="Arial"/>
          <w:b/>
          <w:spacing w:val="22"/>
          <w:rtl w:val="true"/>
        </w:rPr>
        <w:t>(</w:t>
      </w:r>
      <w:r>
        <w:rPr>
          <w:rFonts w:ascii="Arial" w:hAnsi="Arial" w:cs="Arial"/>
          <w:b/>
          <w:b/>
          <w:spacing w:val="22"/>
          <w:rtl w:val="true"/>
        </w:rPr>
        <w:t xml:space="preserve">גם אותו מקרה עסק בנקמת דם </w:t>
      </w:r>
      <w:r>
        <w:rPr>
          <w:rFonts w:cs="Arial" w:ascii="Arial" w:hAnsi="Arial"/>
          <w:b/>
          <w:spacing w:val="22"/>
          <w:rtl w:val="true"/>
        </w:rPr>
        <w:t>(</w:t>
      </w:r>
      <w:r>
        <w:rPr>
          <w:rFonts w:ascii="Arial" w:hAnsi="Arial" w:cs="Arial"/>
          <w:b/>
          <w:b/>
          <w:spacing w:val="22"/>
          <w:rtl w:val="true"/>
        </w:rPr>
        <w:t>תבוא לכך התייחסות בהמשך</w:t>
      </w:r>
      <w:r>
        <w:rPr>
          <w:rFonts w:cs="Arial" w:ascii="Arial" w:hAnsi="Arial"/>
          <w:b/>
          <w:spacing w:val="22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spacing w:val="22"/>
        </w:rPr>
      </w:pPr>
      <w:r>
        <w:rPr>
          <w:rFonts w:cs="Arial" w:ascii="Arial" w:hAnsi="Arial"/>
          <w:b/>
          <w:spacing w:val="22"/>
          <w:rtl w:val="true"/>
        </w:rPr>
      </w:r>
    </w:p>
    <w:p>
      <w:pPr>
        <w:pStyle w:val="Normal"/>
        <w:tabs>
          <w:tab w:val="clear" w:pos="720"/>
          <w:tab w:val="left" w:pos="2552" w:leader="none"/>
          <w:tab w:val="center" w:pos="4156" w:leader="none"/>
        </w:tabs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4</w:t>
      </w:r>
      <w:r>
        <w:rPr>
          <w:spacing w:val="22"/>
          <w:rtl w:val="true"/>
        </w:rPr>
        <w:t xml:space="preserve">.          </w:t>
      </w:r>
      <w:r>
        <w:rPr>
          <w:spacing w:val="22"/>
          <w:rtl w:val="true"/>
        </w:rPr>
        <w:t>ב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כ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נסמך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קביעות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בהכרעת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הדין</w:t>
      </w:r>
      <w:r>
        <w:rPr>
          <w:spacing w:val="22"/>
          <w:rtl w:val="true"/>
        </w:rPr>
        <w:t xml:space="preserve">: </w:t>
      </w:r>
      <w:r>
        <w:rPr>
          <w:spacing w:val="22"/>
          <w:rtl w:val="true"/>
        </w:rPr>
        <w:t>האחת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ביחס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למצבו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הנפשי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נאמר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</w:t>
      </w:r>
      <w:r>
        <w:rPr>
          <w:spacing w:val="22"/>
          <w:rtl w:val="true"/>
        </w:rPr>
        <w:t>"</w:t>
      </w:r>
      <w:r>
        <w:rPr>
          <w:b/>
          <w:b/>
          <w:bCs/>
          <w:spacing w:val="22"/>
          <w:rtl w:val="true"/>
        </w:rPr>
        <w:t>אמנם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הנאשם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הושפע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עמוקות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מהדרך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הטרגית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בה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אביו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קיפח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את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חייו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ואירוע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זה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השפיע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עליו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והעמיק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השימוש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שעשה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בסמים</w:t>
      </w:r>
      <w:r>
        <w:rPr>
          <w:b/>
          <w:bCs/>
          <w:spacing w:val="22"/>
          <w:rtl w:val="true"/>
        </w:rPr>
        <w:t xml:space="preserve">. </w:t>
      </w:r>
      <w:r>
        <w:rPr>
          <w:b/>
          <w:b/>
          <w:bCs/>
          <w:spacing w:val="22"/>
          <w:rtl w:val="true"/>
        </w:rPr>
        <w:t>גרם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לו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לתסכול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עמוק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בשל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העובדה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שכנגד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מי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שחשב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שרצח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את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אביו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לא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יינקטו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הליכים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אולם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באלה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לא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היה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למוטט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את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שיקול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דעתו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ויכולת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ההבנה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של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מעשיו</w:t>
      </w:r>
      <w:r>
        <w:rPr>
          <w:b/>
          <w:bCs/>
          <w:spacing w:val="22"/>
          <w:rtl w:val="true"/>
        </w:rPr>
        <w:t>",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והנושא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לעניין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ענישה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מופחתת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הוסף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לגבי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מופחתת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תדחנה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טענות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ההגנה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עניינו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נכנס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לגדרי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החריגים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בשל</w:t>
      </w:r>
      <w:r>
        <w:rPr>
          <w:rFonts w:cs="Times New Roman"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הליקויים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הנפשיים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נגרמו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מהדיכאון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הפסיכוטי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ניתן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לקבוע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בסבירות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גבוהה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המעשה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דומה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למצבו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הבדיקה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פרופ</w:t>
      </w:r>
      <w:r>
        <w:rPr>
          <w:spacing w:val="22"/>
          <w:rtl w:val="true"/>
        </w:rPr>
        <w:t xml:space="preserve">' </w:t>
      </w:r>
      <w:r>
        <w:rPr>
          <w:spacing w:val="22"/>
          <w:rtl w:val="true"/>
        </w:rPr>
        <w:t>לוי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לפיכך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סבל</w:t>
      </w:r>
      <w:r>
        <w:rPr>
          <w:rFonts w:cs="Times New Roman"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מהפרעה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נפשית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חמורה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כשיר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לעמוד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לדין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הפרעה</w:t>
      </w:r>
      <w:r>
        <w:rPr>
          <w:rFonts w:cs="Times New Roman"/>
          <w:spacing w:val="22"/>
          <w:rtl w:val="true"/>
        </w:rPr>
        <w:t xml:space="preserve">  </w:t>
      </w:r>
      <w:r>
        <w:rPr>
          <w:spacing w:val="22"/>
          <w:rtl w:val="true"/>
        </w:rPr>
        <w:t>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הגבילה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יכולתו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במידה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ניכרת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עושה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הפסול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במעשיו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להימנע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המעשה</w:t>
      </w:r>
      <w:r>
        <w:rPr>
          <w:spacing w:val="22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  <w:tab w:val="center" w:pos="4156" w:leader="none"/>
        </w:tabs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tabs>
          <w:tab w:val="clear" w:pos="720"/>
          <w:tab w:val="left" w:pos="2552" w:leader="none"/>
          <w:tab w:val="center" w:pos="4156" w:leader="none"/>
        </w:tabs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5</w:t>
      </w:r>
      <w:r>
        <w:rPr>
          <w:spacing w:val="22"/>
          <w:rtl w:val="true"/>
        </w:rPr>
        <w:t xml:space="preserve">.      </w:t>
      </w:r>
      <w:r>
        <w:rPr>
          <w:spacing w:val="22"/>
          <w:rtl w:val="true"/>
        </w:rPr>
        <w:t>הסנגור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התעלם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שבפסיקת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המשפט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העליון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הוכר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מצומצם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בלבד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בגדרם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זכה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שהורשע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ברצח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מופחתת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הפניה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להחלטות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בעניין</w:t>
      </w:r>
      <w:r>
        <w:rPr>
          <w:spacing w:val="22"/>
          <w:rtl w:val="true"/>
        </w:rPr>
        <w:t xml:space="preserve">: </w:t>
      </w:r>
      <w:hyperlink r:id="rId24">
        <w:r>
          <w:rPr>
            <w:rStyle w:val="Hyperlink"/>
            <w:b/>
            <w:b/>
            <w:bCs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22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22"/>
            <w:u w:val="single"/>
          </w:rPr>
          <w:t>3962/99</w:t>
        </w:r>
      </w:hyperlink>
      <w:r>
        <w:rPr>
          <w:spacing w:val="22"/>
          <w:rtl w:val="true"/>
        </w:rPr>
        <w:t xml:space="preserve">, </w:t>
      </w:r>
      <w:r>
        <w:rPr>
          <w:b/>
          <w:b/>
          <w:bCs/>
          <w:spacing w:val="22"/>
          <w:rtl w:val="true"/>
        </w:rPr>
        <w:t>ו</w:t>
      </w:r>
      <w:hyperlink r:id="rId25">
        <w:r>
          <w:rPr>
            <w:rStyle w:val="Hyperlink"/>
            <w:b/>
            <w:b/>
            <w:bCs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22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22"/>
            <w:u w:val="single"/>
          </w:rPr>
          <w:t>5031/01</w:t>
        </w:r>
      </w:hyperlink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בעניין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משפט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המחוזי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הרשיע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המערערת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רצח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וגזר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מופחת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משפט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העליון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קבע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עקב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נפשית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התגבשה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כוונת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קטילה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ולפיכך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התקיים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היסוד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הנפשי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הדרוש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להרשעה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רצח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זוכתה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מעבירת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רצח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והורשעה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בהריגה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אוזכר</w:t>
      </w:r>
      <w:r>
        <w:rPr>
          <w:rFonts w:cs="Times New Roman"/>
          <w:spacing w:val="22"/>
          <w:rtl w:val="true"/>
        </w:rPr>
        <w:t xml:space="preserve"> </w:t>
      </w:r>
      <w:hyperlink r:id="rId26">
        <w:r>
          <w:rPr>
            <w:rStyle w:val="Hyperlink"/>
            <w:b/>
            <w:b/>
            <w:bCs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22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22"/>
            <w:u w:val="single"/>
          </w:rPr>
          <w:t>5951/98</w:t>
        </w:r>
      </w:hyperlink>
      <w:r>
        <w:rPr>
          <w:b/>
          <w:bCs/>
          <w:spacing w:val="22"/>
          <w:rtl w:val="true"/>
        </w:rPr>
        <w:t>.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עניין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דעת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המיעוט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סברה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התפתחה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הפרעה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נפשית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חמורה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בסמוך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לאירוע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זכאי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מופחתת</w:t>
      </w:r>
      <w:r>
        <w:rPr>
          <w:spacing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  <w:tab w:val="center" w:pos="4156" w:leader="none"/>
        </w:tabs>
        <w:spacing w:lineRule="auto" w:line="360"/>
        <w:ind w:end="0"/>
        <w:jc w:val="both"/>
        <w:rPr>
          <w:spacing w:val="22"/>
        </w:rPr>
      </w:pPr>
      <w:r>
        <w:rPr>
          <w:rFonts w:cs="Times New Roman"/>
          <w:spacing w:val="22"/>
          <w:rtl w:val="true"/>
        </w:rPr>
        <w:t xml:space="preserve">        </w:t>
      </w:r>
      <w:r>
        <w:rPr>
          <w:spacing w:val="22"/>
          <w:rtl w:val="true"/>
        </w:rPr>
        <w:t>לטענת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הסנגור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האחרונה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נושבת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רוח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חדשה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מפסיקתו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משפט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העליון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הקוראת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להגמשת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הנדרשים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בסוגיה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אוזכר</w:t>
      </w:r>
      <w:r>
        <w:rPr>
          <w:rFonts w:cs="Times New Roman"/>
          <w:spacing w:val="22"/>
          <w:rtl w:val="true"/>
        </w:rPr>
        <w:t xml:space="preserve"> </w:t>
      </w:r>
      <w:hyperlink r:id="rId27">
        <w:r>
          <w:rPr>
            <w:rStyle w:val="Hyperlink"/>
            <w:b/>
            <w:b/>
            <w:bCs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22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22"/>
            <w:u w:val="single"/>
          </w:rPr>
          <w:t>3039/15</w:t>
        </w:r>
      </w:hyperlink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שעסק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בשאלת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תחולתו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28">
        <w:r>
          <w:rPr>
            <w:rStyle w:val="Hyperlink"/>
            <w:color w:val="0000FF"/>
            <w:spacing w:val="22"/>
            <w:u w:val="single"/>
          </w:rPr>
          <w:t>300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' (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29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פסק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מופחתת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רצח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ליקוי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רקע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פוסט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טראומה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סבל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המערער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משפט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העליון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סוגיות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עקרוניות</w:t>
      </w:r>
      <w:r>
        <w:rPr>
          <w:spacing w:val="22"/>
          <w:rtl w:val="true"/>
        </w:rPr>
        <w:t xml:space="preserve">: </w:t>
      </w:r>
      <w:r>
        <w:rPr>
          <w:spacing w:val="22"/>
          <w:rtl w:val="true"/>
        </w:rPr>
        <w:t>האחת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spacing w:val="22"/>
          <w:rtl w:val="true"/>
        </w:rPr>
        <w:t>התנאים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לתחולתו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30">
        <w:r>
          <w:rPr>
            <w:rStyle w:val="Hyperlink"/>
            <w:color w:val="0000FF"/>
            <w:spacing w:val="22"/>
            <w:u w:val="single"/>
          </w:rPr>
          <w:t>300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'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31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ועתירה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מופחת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כטענה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חלופית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במשפט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רצח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המשפט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העליון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הזכיר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עניין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ההלכה</w:t>
      </w:r>
      <w:r>
        <w:rPr>
          <w:rFonts w:cs="Times New Roman"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</w:t>
      </w:r>
      <w:hyperlink r:id="rId32">
        <w:r>
          <w:rPr>
            <w:rStyle w:val="Hyperlink"/>
            <w:b/>
            <w:b/>
            <w:bCs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22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22"/>
            <w:u w:val="single"/>
          </w:rPr>
          <w:t>774/13</w:t>
        </w:r>
      </w:hyperlink>
      <w:r>
        <w:rPr>
          <w:b/>
          <w:bCs/>
          <w:spacing w:val="22"/>
          <w:rtl w:val="true"/>
        </w:rPr>
        <w:t xml:space="preserve">, </w:t>
      </w:r>
      <w:r>
        <w:rPr>
          <w:spacing w:val="22"/>
          <w:rtl w:val="true"/>
        </w:rPr>
        <w:t>לפיה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ההגנה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העיקרי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שפיות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הדעת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ניתן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לברר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במהלך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המשפט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הטענה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החלופית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מופחתת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33">
        <w:r>
          <w:rPr>
            <w:rStyle w:val="Hyperlink"/>
            <w:color w:val="0000FF"/>
            <w:spacing w:val="22"/>
          </w:rPr>
          <w:t>300</w:t>
        </w:r>
        <w:r>
          <w:rPr>
            <w:rStyle w:val="Hyperlink"/>
            <w:color w:val="0000FF"/>
            <w:spacing w:val="22"/>
            <w:rtl w:val="true"/>
          </w:rPr>
          <w:t xml:space="preserve"> </w:t>
        </w:r>
        <w:r>
          <w:rPr>
            <w:rStyle w:val="Hyperlink"/>
            <w:color w:val="0000FF"/>
            <w:spacing w:val="22"/>
            <w:rtl w:val="true"/>
          </w:rPr>
          <w:t>א</w:t>
        </w:r>
        <w:r>
          <w:rPr>
            <w:rStyle w:val="Hyperlink"/>
            <w:color w:val="0000FF"/>
            <w:spacing w:val="22"/>
            <w:rtl w:val="true"/>
          </w:rPr>
          <w:t>' (</w:t>
        </w:r>
        <w:r>
          <w:rPr>
            <w:rStyle w:val="Hyperlink"/>
            <w:color w:val="0000FF"/>
            <w:spacing w:val="22"/>
            <w:rtl w:val="true"/>
          </w:rPr>
          <w:t>א</w:t>
        </w:r>
        <w:r>
          <w:rPr>
            <w:rStyle w:val="Hyperlink"/>
            <w:color w:val="0000FF"/>
            <w:spacing w:val="22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שמקומו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בסעיף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ככלל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בשלב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גזירת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הדין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המשפט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העליון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נדרש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אגב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בתיק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לצורך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ריכוך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ההלכה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הקיימת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לתנאים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הנדרשים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לתחולתו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34">
        <w:r>
          <w:rPr>
            <w:rStyle w:val="Hyperlink"/>
            <w:color w:val="0000FF"/>
            <w:spacing w:val="22"/>
            <w:u w:val="single"/>
          </w:rPr>
          <w:t>300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' (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35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זאת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רקע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הפרשנות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המצמצמת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המשפט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באופן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שהגביל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יישומם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ביטוי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בדעת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כב</w:t>
      </w:r>
      <w:r>
        <w:rPr>
          <w:spacing w:val="22"/>
          <w:rtl w:val="true"/>
        </w:rPr>
        <w:t xml:space="preserve">' </w:t>
      </w:r>
      <w:r>
        <w:rPr>
          <w:spacing w:val="22"/>
          <w:rtl w:val="true"/>
        </w:rPr>
        <w:t>השופט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עמית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הגיעה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להוריד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במידת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הנדרש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לתחולת</w:t>
      </w:r>
      <w:r>
        <w:rPr>
          <w:rFonts w:cs="Times New Roman"/>
          <w:spacing w:val="22"/>
          <w:rtl w:val="true"/>
        </w:rPr>
        <w:t xml:space="preserve"> </w:t>
      </w:r>
      <w:hyperlink r:id="rId36">
        <w:r>
          <w:rPr>
            <w:rStyle w:val="Hyperlink"/>
            <w:color w:val="0000FF"/>
            <w:spacing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300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הורדת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צריכה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להתבצע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הגדלת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המרווח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הנדרש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לצורך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מופחתת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37">
        <w:r>
          <w:rPr>
            <w:rStyle w:val="Hyperlink"/>
            <w:color w:val="0000FF"/>
            <w:spacing w:val="22"/>
          </w:rPr>
          <w:t>300</w:t>
        </w:r>
        <w:r>
          <w:rPr>
            <w:rStyle w:val="Hyperlink"/>
            <w:color w:val="0000FF"/>
            <w:spacing w:val="22"/>
            <w:rtl w:val="true"/>
          </w:rPr>
          <w:t xml:space="preserve"> </w:t>
        </w:r>
        <w:r>
          <w:rPr>
            <w:rStyle w:val="Hyperlink"/>
            <w:color w:val="0000FF"/>
            <w:spacing w:val="22"/>
            <w:rtl w:val="true"/>
          </w:rPr>
          <w:t>א</w:t>
        </w:r>
        <w:r>
          <w:rPr>
            <w:rStyle w:val="Hyperlink"/>
            <w:color w:val="0000FF"/>
            <w:spacing w:val="22"/>
            <w:rtl w:val="true"/>
          </w:rPr>
          <w:t>'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הנדרש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לצורך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פטור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מוחלט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מאחריות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38">
        <w:r>
          <w:rPr>
            <w:rStyle w:val="Hyperlink"/>
            <w:color w:val="0000FF"/>
            <w:spacing w:val="22"/>
          </w:rPr>
          <w:t>34</w:t>
        </w:r>
        <w:r>
          <w:rPr>
            <w:rStyle w:val="Hyperlink"/>
            <w:color w:val="0000FF"/>
            <w:spacing w:val="22"/>
            <w:rtl w:val="true"/>
          </w:rPr>
          <w:t xml:space="preserve"> </w:t>
        </w:r>
        <w:r>
          <w:rPr>
            <w:rStyle w:val="Hyperlink"/>
            <w:color w:val="0000FF"/>
            <w:spacing w:val="22"/>
            <w:rtl w:val="true"/>
          </w:rPr>
          <w:t>ח</w:t>
        </w:r>
        <w:r>
          <w:rPr>
            <w:rStyle w:val="Hyperlink"/>
            <w:color w:val="0000FF"/>
            <w:spacing w:val="22"/>
            <w:rtl w:val="true"/>
          </w:rPr>
          <w:t>'</w:t>
        </w:r>
      </w:hyperlink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השוני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ביטוי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בריכוך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עוצמת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התסמינים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הנדרשים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החלת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39">
        <w:r>
          <w:rPr>
            <w:rStyle w:val="Hyperlink"/>
            <w:color w:val="0000FF"/>
            <w:spacing w:val="22"/>
            <w:u w:val="single"/>
          </w:rPr>
          <w:t>300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'</w:t>
        </w:r>
      </w:hyperlink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הסנגור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הוסיף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רקע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הגמשתו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לכאורה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הנדרש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לצורך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תחולתו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40">
        <w:r>
          <w:rPr>
            <w:rStyle w:val="Hyperlink"/>
            <w:color w:val="0000FF"/>
            <w:spacing w:val="22"/>
            <w:u w:val="single"/>
          </w:rPr>
          <w:t>300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' (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),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הכיר</w:t>
      </w:r>
      <w:r>
        <w:rPr>
          <w:rFonts w:cs="Times New Roman"/>
          <w:spacing w:val="22"/>
          <w:rtl w:val="true"/>
        </w:rPr>
        <w:t xml:space="preserve">  </w:t>
      </w:r>
      <w:r>
        <w:rPr>
          <w:spacing w:val="22"/>
          <w:rtl w:val="true"/>
        </w:rPr>
        <w:t>השופט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עמית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במצב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פוסט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טראומה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כמצע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אפשרי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לטענת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שפיות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41">
        <w:r>
          <w:rPr>
            <w:rStyle w:val="Hyperlink"/>
            <w:color w:val="0000FF"/>
            <w:spacing w:val="22"/>
            <w:u w:val="single"/>
          </w:rPr>
          <w:t>34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ח</w:t>
        </w:r>
        <w:r>
          <w:rPr>
            <w:rStyle w:val="Hyperlink"/>
            <w:color w:val="0000FF"/>
            <w:spacing w:val="22"/>
            <w:u w:val="single"/>
            <w:rtl w:val="true"/>
          </w:rPr>
          <w:t>'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42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כבסיס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לתחולתו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43">
        <w:r>
          <w:rPr>
            <w:rStyle w:val="Hyperlink"/>
            <w:color w:val="0000FF"/>
            <w:spacing w:val="22"/>
            <w:u w:val="single"/>
          </w:rPr>
          <w:t>300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' (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העונשין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שינויים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נטען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מצטרפים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לשינויים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שחלו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האחרונות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במבחנים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לתחולתה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טענת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שפיות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ביטוי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הקטגורי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הפונקציונלי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בעיקר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הסימפטומים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עוצמת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התסמינים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החולה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במסגרת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הגמשה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להכיר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תיק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ככאלו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שמקיימות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ההגנה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הקבועה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בחוק</w:t>
      </w:r>
      <w:r>
        <w:rPr>
          <w:spacing w:val="22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  <w:tab w:val="center" w:pos="4156" w:leader="none"/>
        </w:tabs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tabs>
          <w:tab w:val="clear" w:pos="720"/>
          <w:tab w:val="left" w:pos="2552" w:leader="none"/>
          <w:tab w:val="center" w:pos="4156" w:leader="none"/>
        </w:tabs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6</w:t>
      </w:r>
      <w:r>
        <w:rPr>
          <w:spacing w:val="22"/>
          <w:rtl w:val="true"/>
        </w:rPr>
        <w:t xml:space="preserve">.      </w:t>
      </w:r>
      <w:r>
        <w:rPr>
          <w:spacing w:val="22"/>
          <w:rtl w:val="true"/>
        </w:rPr>
        <w:t>לחלופין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לקבוע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44">
        <w:r>
          <w:rPr>
            <w:rStyle w:val="Hyperlink"/>
            <w:color w:val="0000FF"/>
            <w:spacing w:val="22"/>
            <w:u w:val="single"/>
          </w:rPr>
          <w:t>300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color w:val="0000FF"/>
            <w:spacing w:val="22"/>
            <w:u w:val="single"/>
            <w:rtl w:val="true"/>
          </w:rPr>
          <w:t>ב</w:t>
        </w:r>
        <w:r>
          <w:rPr>
            <w:rStyle w:val="Hyperlink"/>
            <w:color w:val="0000FF"/>
            <w:spacing w:val="22"/>
            <w:u w:val="single"/>
            <w:rtl w:val="true"/>
          </w:rPr>
          <w:t>),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הדן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בחריגה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מועטת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לצורך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התקיימות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הסייג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בדבר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הגנה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עצמית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בענייננו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חרג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במידת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מתנאי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הנחיצות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תנאי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הסבירות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למקרים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נקבעה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ההוראה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הקבועה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בסעיף</w:t>
      </w:r>
      <w:r>
        <w:rPr>
          <w:rFonts w:cs="Times New Roman"/>
          <w:spacing w:val="22"/>
          <w:rtl w:val="true"/>
        </w:rPr>
        <w:t xml:space="preserve"> </w:t>
      </w:r>
      <w:hyperlink r:id="rId45">
        <w:r>
          <w:rPr>
            <w:rStyle w:val="Hyperlink"/>
            <w:color w:val="0000FF"/>
            <w:spacing w:val="22"/>
            <w:u w:val="single"/>
          </w:rPr>
          <w:t>300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' (</w:t>
        </w:r>
        <w:r>
          <w:rPr>
            <w:rStyle w:val="Hyperlink"/>
            <w:color w:val="0000FF"/>
            <w:spacing w:val="22"/>
            <w:u w:val="single"/>
            <w:rtl w:val="true"/>
          </w:rPr>
          <w:t>ב</w:t>
        </w:r>
        <w:r>
          <w:rPr>
            <w:rStyle w:val="Hyperlink"/>
            <w:color w:val="0000FF"/>
            <w:spacing w:val="22"/>
            <w:u w:val="single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46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עניינו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נטען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חרג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במידה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מועטת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בלבד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ולפיכך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זכאי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מופחתת</w:t>
      </w:r>
      <w:r>
        <w:rPr>
          <w:spacing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  <w:tab w:val="center" w:pos="4156" w:leader="none"/>
        </w:tabs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tabs>
          <w:tab w:val="clear" w:pos="720"/>
          <w:tab w:val="left" w:pos="2552" w:leader="none"/>
          <w:tab w:val="center" w:pos="4156" w:leader="none"/>
        </w:tabs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7</w:t>
      </w:r>
      <w:r>
        <w:rPr>
          <w:spacing w:val="22"/>
          <w:rtl w:val="true"/>
        </w:rPr>
        <w:t xml:space="preserve">.       </w:t>
      </w:r>
      <w:r>
        <w:rPr>
          <w:spacing w:val="22"/>
          <w:rtl w:val="true"/>
        </w:rPr>
        <w:t>טענה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נוספת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הסנגור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נגעה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בהתעללות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חמורה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ומתמשכת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לחלופי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חלופין</w:t>
      </w:r>
      <w:r>
        <w:rPr>
          <w:spacing w:val="22"/>
          <w:rtl w:val="true"/>
        </w:rPr>
        <w:t>) (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47">
        <w:r>
          <w:rPr>
            <w:rStyle w:val="Hyperlink"/>
            <w:color w:val="0000FF"/>
            <w:spacing w:val="22"/>
            <w:u w:val="single"/>
          </w:rPr>
          <w:t>300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'(</w:t>
        </w:r>
        <w:r>
          <w:rPr>
            <w:rStyle w:val="Hyperlink"/>
            <w:color w:val="0000FF"/>
            <w:spacing w:val="22"/>
            <w:u w:val="single"/>
            <w:rtl w:val="true"/>
          </w:rPr>
          <w:t>ג</w:t>
        </w:r>
        <w:r>
          <w:rPr>
            <w:rStyle w:val="Hyperlink"/>
            <w:color w:val="0000FF"/>
            <w:spacing w:val="22"/>
            <w:u w:val="single"/>
            <w:rtl w:val="true"/>
          </w:rPr>
          <w:t>)).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מבחינת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מבטו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הסובייקטיבי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המנוח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שהביא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לרצח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אביו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המנוח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ומשפחתו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הם</w:t>
      </w:r>
      <w:r>
        <w:rPr>
          <w:rFonts w:cs="Times New Roman"/>
          <w:spacing w:val="22"/>
          <w:rtl w:val="true"/>
        </w:rPr>
        <w:t xml:space="preserve">  </w:t>
      </w:r>
      <w:r>
        <w:rPr>
          <w:spacing w:val="22"/>
          <w:rtl w:val="true"/>
        </w:rPr>
        <w:t>אלה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קיימו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עטווה</w:t>
      </w:r>
      <w:r>
        <w:rPr>
          <w:spacing w:val="22"/>
          <w:rtl w:val="true"/>
        </w:rPr>
        <w:t xml:space="preserve">" </w:t>
      </w:r>
      <w:r>
        <w:rPr>
          <w:spacing w:val="22"/>
          <w:rtl w:val="true"/>
        </w:rPr>
        <w:t>ונשארו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בקרבת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למגורי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המנוח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שביצע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פרובוקציות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אלימות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משפחתו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וניתן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לראות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התנהלות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המנוח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כהתעללות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חמורה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ומתמשכת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ובבן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משפחתו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ולפיכך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זכאי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מסייג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spacing w:val="22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  <w:tab w:val="center" w:pos="4156" w:leader="none"/>
        </w:tabs>
        <w:spacing w:lineRule="auto" w:line="360"/>
        <w:ind w:end="0"/>
        <w:jc w:val="both"/>
        <w:rPr>
          <w:spacing w:val="22"/>
        </w:rPr>
      </w:pPr>
      <w:r>
        <w:rPr>
          <w:rFonts w:cs="Times New Roman"/>
          <w:spacing w:val="22"/>
          <w:rtl w:val="true"/>
        </w:rPr>
        <w:t xml:space="preserve">         </w:t>
      </w:r>
    </w:p>
    <w:p>
      <w:pPr>
        <w:pStyle w:val="Normal"/>
        <w:tabs>
          <w:tab w:val="clear" w:pos="720"/>
          <w:tab w:val="left" w:pos="2552" w:leader="none"/>
          <w:tab w:val="center" w:pos="4156" w:leader="none"/>
        </w:tabs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spacing w:val="22"/>
        </w:rPr>
        <w:t>8</w:t>
      </w:r>
      <w:r>
        <w:rPr>
          <w:spacing w:val="22"/>
          <w:rtl w:val="true"/>
        </w:rPr>
        <w:t xml:space="preserve">.     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לחפוף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העונשים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הרצח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spacing w:val="22"/>
          <w:rtl w:val="true"/>
        </w:rPr>
        <w:t xml:space="preserve">. 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אירוע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ראוי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ייענש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פעמיים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בגינו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הפנייה</w:t>
      </w:r>
      <w:r>
        <w:rPr>
          <w:rFonts w:cs="Times New Roman"/>
          <w:spacing w:val="22"/>
          <w:rtl w:val="true"/>
        </w:rPr>
        <w:t xml:space="preserve"> </w:t>
      </w:r>
      <w:hyperlink r:id="rId48">
        <w:r>
          <w:rPr>
            <w:rStyle w:val="Hyperlink"/>
            <w:color w:val="0000FF"/>
            <w:spacing w:val="22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186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49">
        <w:r>
          <w:rPr>
            <w:rStyle w:val="Hyperlink"/>
            <w:color w:val="0000FF"/>
            <w:spacing w:val="22"/>
            <w:u w:val="single"/>
            <w:rtl w:val="true"/>
          </w:rPr>
          <w:t>חסד</w:t>
        </w:r>
        <w:r>
          <w:rPr>
            <w:rStyle w:val="Hyperlink"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color w:val="0000FF"/>
            <w:spacing w:val="22"/>
            <w:u w:val="single"/>
            <w:rtl w:val="true"/>
          </w:rPr>
          <w:t>פ</w:t>
        </w:r>
      </w:hyperlink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הקובע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משפט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רשאי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להרשיע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שאשמתו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התגלתה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העובדות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שהוכחו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לפניו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יענישנו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יותר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מפעם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נשיאת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נפרד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מאירוע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הרצח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שנקבע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ראוי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העונשים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יוטלו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במצטבר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לפיצוי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בתיק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ישנן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חריגות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יוצאות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הכלל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אביו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מולידו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נרצח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הרקע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שפורט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בהכרעת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הדין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ספק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שקיימות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חריגות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להביאן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בחשבון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הטראומה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שמלווה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המשפחה</w:t>
      </w:r>
      <w:r>
        <w:rPr>
          <w:spacing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  <w:tab w:val="center" w:pos="4156" w:leader="none"/>
        </w:tabs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eastAsia="Arial" w:cs="Arial" w:ascii="Arial" w:hAnsi="Arial"/>
          <w:spacing w:val="22"/>
          <w:rtl w:val="true"/>
        </w:rPr>
        <w:t xml:space="preserve">    </w:t>
      </w:r>
    </w:p>
    <w:p>
      <w:pPr>
        <w:pStyle w:val="Normal"/>
        <w:tabs>
          <w:tab w:val="clear" w:pos="720"/>
          <w:tab w:val="left" w:pos="2552" w:leader="none"/>
          <w:tab w:val="center" w:pos="4156" w:leader="none"/>
        </w:tabs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</w:rPr>
        <w:t>9</w:t>
      </w:r>
      <w:r>
        <w:rPr>
          <w:rFonts w:cs="Arial" w:ascii="Arial" w:hAnsi="Arial"/>
          <w:spacing w:val="22"/>
          <w:rtl w:val="true"/>
        </w:rPr>
        <w:t xml:space="preserve">.     </w:t>
      </w:r>
      <w:r>
        <w:rPr>
          <w:rFonts w:cs="Arial" w:ascii="Arial" w:hAnsi="Arial"/>
          <w:b/>
          <w:bCs/>
          <w:spacing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pacing w:val="22"/>
          <w:rtl w:val="true"/>
        </w:rPr>
        <w:t>הנאשם</w:t>
      </w:r>
      <w:r>
        <w:rPr>
          <w:rFonts w:ascii="Arial" w:hAnsi="Arial" w:cs="Arial"/>
          <w:spacing w:val="22"/>
          <w:rtl w:val="true"/>
        </w:rPr>
        <w:t xml:space="preserve"> הוסיף כי המנוח הרג  את אביו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עובר לכך הוא תפקד באופן נורמטיבי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השתכר לפרנסתו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ומיום שאביו נהרג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החל להשתמש בסמים ואלכוהול והפך לאדם אחר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בהמשך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המנוח הגיע והציק למשפחתו וניסה לפגוע בו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מצבו הנפשי בבית נפגע קשה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הוא היה בדיכאון והוא מבקש לשקם את חייו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  <w:tab w:val="center" w:pos="4156" w:leader="none"/>
        </w:tabs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eastAsia="Arial" w:cs="Arial" w:ascii="Arial" w:hAnsi="Arial"/>
          <w:b/>
          <w:bCs/>
          <w:spacing w:val="22"/>
          <w:rtl w:val="true"/>
        </w:rPr>
        <w:t xml:space="preserve">          </w:t>
      </w:r>
      <w:r>
        <w:rPr>
          <w:rFonts w:ascii="Arial" w:hAnsi="Arial" w:cs="Arial"/>
          <w:b/>
          <w:b/>
          <w:bCs/>
          <w:spacing w:val="22"/>
          <w:rtl w:val="true"/>
        </w:rPr>
        <w:t>אחיו של הנאשם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מוחמד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הוסיף כי מות האב גרם לפגיעה קשה בכל בני המשפחה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חייהם המשותפים נפגעו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ואיך ניתן לפסוק פיצויים למי שאחראי למות האב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  <w:tab w:val="center" w:pos="4156" w:leader="none"/>
        </w:tabs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spacing w:val="22"/>
        </w:rPr>
      </w:pPr>
      <w:r>
        <w:rPr>
          <w:rFonts w:ascii="Arial" w:hAnsi="Arial" w:cs="Arial"/>
          <w:b/>
          <w:b/>
          <w:bCs/>
          <w:spacing w:val="22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pacing w:val="22"/>
        </w:rPr>
        <w:t>10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הנאשם </w:t>
      </w:r>
      <w:r>
        <w:rPr>
          <w:rFonts w:ascii="Arial" w:hAnsi="Arial" w:cs="Arial"/>
          <w:spacing w:val="22"/>
          <w:rtl w:val="true"/>
        </w:rPr>
        <w:t xml:space="preserve"> הורשע בשלוש עבירות</w:t>
      </w:r>
      <w:r>
        <w:rPr>
          <w:rFonts w:cs="Arial" w:ascii="Arial" w:hAnsi="Arial"/>
          <w:spacing w:val="22"/>
          <w:rtl w:val="true"/>
        </w:rPr>
        <w:t>: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רצח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החזקת נשק ונשיאת נשק</w:t>
      </w:r>
      <w:r>
        <w:rPr>
          <w:rFonts w:cs="Arial" w:ascii="Arial" w:hAnsi="Arial"/>
          <w:spacing w:val="22"/>
          <w:rtl w:val="true"/>
        </w:rPr>
        <w:t>.</w:t>
      </w:r>
      <w:r>
        <w:rPr>
          <w:rFonts w:cs="Arial" w:ascii="Arial" w:hAnsi="Arial"/>
          <w:spacing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</w:rPr>
        <w:t>11</w:t>
      </w:r>
      <w:r>
        <w:rPr>
          <w:rFonts w:cs="Arial" w:ascii="Arial" w:hAnsi="Arial"/>
          <w:spacing w:val="22"/>
          <w:rtl w:val="true"/>
        </w:rPr>
        <w:t>.</w:t>
      </w:r>
      <w:r>
        <w:rPr>
          <w:rFonts w:cs="Arial" w:ascii="Arial" w:hAnsi="Arial"/>
          <w:spacing w:val="22"/>
          <w:rtl w:val="true"/>
        </w:rPr>
        <w:tab/>
      </w:r>
      <w:r>
        <w:rPr>
          <w:rFonts w:ascii="Arial" w:hAnsi="Arial" w:cs="Arial"/>
          <w:spacing w:val="22"/>
          <w:rtl w:val="true"/>
        </w:rPr>
        <w:t xml:space="preserve">סעיף </w:t>
      </w:r>
      <w:hyperlink r:id="rId50"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300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'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</w:t>
      </w:r>
      <w:hyperlink r:id="rId51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חוק העונשין</w:t>
        </w:r>
      </w:hyperlink>
      <w:r>
        <w:rPr>
          <w:rFonts w:ascii="Arial" w:hAnsi="Arial" w:cs="Arial"/>
          <w:spacing w:val="22"/>
          <w:rtl w:val="true"/>
        </w:rPr>
        <w:t xml:space="preserve"> </w:t>
      </w:r>
      <w:r>
        <w:rPr>
          <w:rFonts w:cs="Arial" w:ascii="Arial" w:hAnsi="Arial"/>
          <w:spacing w:val="22"/>
          <w:rtl w:val="true"/>
        </w:rPr>
        <w:t>(</w:t>
      </w:r>
      <w:r>
        <w:rPr>
          <w:rFonts w:ascii="Arial" w:hAnsi="Arial" w:cs="Arial"/>
          <w:spacing w:val="22"/>
          <w:rtl w:val="true"/>
        </w:rPr>
        <w:t>אשר בוטל בתיקון מס</w:t>
      </w:r>
      <w:r>
        <w:rPr>
          <w:rFonts w:cs="Arial" w:ascii="Arial" w:hAnsi="Arial"/>
          <w:spacing w:val="22"/>
          <w:rtl w:val="true"/>
        </w:rPr>
        <w:t xml:space="preserve">' </w:t>
      </w:r>
      <w:r>
        <w:rPr>
          <w:rFonts w:cs="Arial" w:ascii="Arial" w:hAnsi="Arial"/>
          <w:spacing w:val="22"/>
        </w:rPr>
        <w:t>137</w:t>
      </w:r>
      <w:r>
        <w:rPr>
          <w:rFonts w:cs="Arial" w:ascii="Arial" w:hAnsi="Arial"/>
          <w:spacing w:val="22"/>
          <w:rtl w:val="true"/>
        </w:rPr>
        <w:t xml:space="preserve">), </w:t>
      </w:r>
      <w:r>
        <w:rPr>
          <w:rFonts w:ascii="Arial" w:hAnsi="Arial" w:cs="Arial"/>
          <w:spacing w:val="22"/>
          <w:rtl w:val="true"/>
        </w:rPr>
        <w:t>ואליו הפנה הסנגור ועליו הוא נסמך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קובע כלהלן</w:t>
      </w:r>
      <w:r>
        <w:rPr>
          <w:rFonts w:cs="Arial" w:ascii="Arial" w:hAnsi="Arial"/>
          <w:spacing w:val="22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22"/>
        </w:rPr>
      </w:pPr>
      <w:r>
        <w:rPr>
          <w:rFonts w:cs="Arial" w:ascii="Arial" w:hAnsi="Arial"/>
          <w:spacing w:val="22"/>
          <w:rtl w:val="true"/>
        </w:rPr>
        <w:tab/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על אף האמור בסעיף </w:t>
      </w:r>
      <w:r>
        <w:rPr>
          <w:rFonts w:cs="Arial" w:ascii="Arial" w:hAnsi="Arial"/>
          <w:b/>
          <w:bCs/>
          <w:spacing w:val="22"/>
        </w:rPr>
        <w:t>300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ניתן להטיל עונש קל מהקבוע בו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אם נעברה העבירה באחד מאלה</w:t>
      </w:r>
      <w:r>
        <w:rPr>
          <w:rFonts w:cs="Arial" w:ascii="Arial" w:hAnsi="Arial"/>
          <w:b/>
          <w:bCs/>
          <w:spacing w:val="22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Arial" w:ascii="Arial" w:hAnsi="Arial"/>
          <w:b/>
          <w:bCs/>
          <w:spacing w:val="22"/>
          <w:rtl w:val="true"/>
        </w:rPr>
        <w:t>(</w:t>
      </w:r>
      <w:r>
        <w:rPr>
          <w:rFonts w:ascii="Arial" w:hAnsi="Arial" w:cs="Arial"/>
          <w:b/>
          <w:b/>
          <w:bCs/>
          <w:spacing w:val="22"/>
          <w:rtl w:val="true"/>
        </w:rPr>
        <w:t>א</w:t>
      </w:r>
      <w:r>
        <w:rPr>
          <w:rFonts w:cs="Arial" w:ascii="Arial" w:hAnsi="Arial"/>
          <w:b/>
          <w:bCs/>
          <w:spacing w:val="22"/>
          <w:rtl w:val="true"/>
        </w:rPr>
        <w:t>)</w:t>
      </w:r>
      <w:r>
        <w:rPr>
          <w:rFonts w:cs="Arial" w:ascii="Arial" w:hAnsi="Arial"/>
          <w:b/>
          <w:bCs/>
          <w:spacing w:val="22"/>
          <w:rtl w:val="true"/>
        </w:rPr>
        <w:tab/>
      </w:r>
      <w:r>
        <w:rPr>
          <w:rFonts w:ascii="Arial" w:hAnsi="Arial" w:cs="Arial"/>
          <w:b/>
          <w:b/>
          <w:bCs/>
          <w:spacing w:val="22"/>
          <w:rtl w:val="true"/>
        </w:rPr>
        <w:t>במצב שבו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בשל הפרעה נפשית חמורה או בשל ליקוי בכושר השכלי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הוגבלה יכולתו של הנאשם במידה ניכרת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אך לא עד כדי חוסר יכולת של ממש כאמור בסעיף </w:t>
      </w:r>
      <w:r>
        <w:rPr>
          <w:rFonts w:cs="Arial" w:ascii="Arial" w:hAnsi="Arial"/>
          <w:b/>
          <w:bCs/>
          <w:spacing w:val="22"/>
        </w:rPr>
        <w:t>34</w:t>
      </w:r>
      <w:r>
        <w:rPr>
          <w:rFonts w:ascii="Arial" w:hAnsi="Arial" w:cs="Arial"/>
          <w:b/>
          <w:b/>
          <w:bCs/>
          <w:spacing w:val="22"/>
          <w:rtl w:val="true"/>
        </w:rPr>
        <w:t>ח</w:t>
      </w:r>
      <w:r>
        <w:rPr>
          <w:rFonts w:cs="Arial" w:ascii="Arial" w:hAnsi="Arial"/>
          <w:b/>
          <w:bCs/>
          <w:spacing w:val="22"/>
          <w:rtl w:val="true"/>
        </w:rPr>
        <w:t xml:space="preserve">' </w:t>
      </w:r>
      <w:r>
        <w:rPr>
          <w:rFonts w:cs="Arial" w:ascii="Arial" w:hAnsi="Arial"/>
          <w:b/>
          <w:bCs/>
          <w:spacing w:val="22"/>
          <w:rtl w:val="true"/>
        </w:rPr>
        <w:t>–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spacing w:val="22"/>
        </w:rPr>
      </w:pPr>
      <w:r>
        <w:rPr>
          <w:rFonts w:cs="Arial" w:ascii="Arial" w:hAnsi="Arial"/>
          <w:b/>
          <w:bCs/>
          <w:spacing w:val="22"/>
          <w:rtl w:val="true"/>
        </w:rPr>
        <w:tab/>
      </w:r>
      <w:r>
        <w:rPr>
          <w:rFonts w:cs="Arial" w:ascii="Arial" w:hAnsi="Arial"/>
          <w:b/>
          <w:bCs/>
          <w:spacing w:val="22"/>
          <w:rtl w:val="true"/>
        </w:rPr>
        <w:t>(</w:t>
      </w:r>
      <w:r>
        <w:rPr>
          <w:rFonts w:cs="Arial" w:ascii="Arial" w:hAnsi="Arial"/>
          <w:b/>
          <w:bCs/>
          <w:spacing w:val="22"/>
        </w:rPr>
        <w:t>1</w:t>
      </w:r>
      <w:r>
        <w:rPr>
          <w:rFonts w:cs="Arial" w:ascii="Arial" w:hAnsi="Arial"/>
          <w:b/>
          <w:bCs/>
          <w:spacing w:val="22"/>
          <w:rtl w:val="true"/>
        </w:rPr>
        <w:t xml:space="preserve">) </w:t>
      </w:r>
      <w:r>
        <w:rPr>
          <w:rFonts w:ascii="Arial" w:hAnsi="Arial" w:cs="Arial"/>
          <w:b/>
          <w:b/>
          <w:bCs/>
          <w:spacing w:val="22"/>
          <w:rtl w:val="true"/>
        </w:rPr>
        <w:t>להבין את אשר הוא עושה או את הפסול שבמעשהו</w:t>
      </w:r>
      <w:r>
        <w:rPr>
          <w:rFonts w:cs="Arial" w:ascii="Arial" w:hAnsi="Arial"/>
          <w:b/>
          <w:bCs/>
          <w:spacing w:val="22"/>
          <w:rtl w:val="true"/>
        </w:rPr>
        <w:t xml:space="preserve">; </w:t>
      </w:r>
      <w:r>
        <w:rPr>
          <w:rFonts w:ascii="Arial" w:hAnsi="Arial" w:cs="Arial"/>
          <w:b/>
          <w:b/>
          <w:bCs/>
          <w:spacing w:val="22"/>
          <w:rtl w:val="true"/>
        </w:rPr>
        <w:t>או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spacing w:val="22"/>
        </w:rPr>
      </w:pPr>
      <w:r>
        <w:rPr>
          <w:rFonts w:cs="Arial" w:ascii="Arial" w:hAnsi="Arial"/>
          <w:b/>
          <w:bCs/>
          <w:spacing w:val="22"/>
          <w:rtl w:val="true"/>
        </w:rPr>
        <w:tab/>
      </w:r>
      <w:r>
        <w:rPr>
          <w:rFonts w:cs="Arial" w:ascii="Arial" w:hAnsi="Arial"/>
          <w:b/>
          <w:bCs/>
          <w:spacing w:val="22"/>
          <w:rtl w:val="true"/>
        </w:rPr>
        <w:t>(</w:t>
      </w:r>
      <w:r>
        <w:rPr>
          <w:rFonts w:cs="Arial" w:ascii="Arial" w:hAnsi="Arial"/>
          <w:b/>
          <w:bCs/>
          <w:spacing w:val="22"/>
        </w:rPr>
        <w:t>2</w:t>
      </w:r>
      <w:r>
        <w:rPr>
          <w:rFonts w:cs="Arial" w:ascii="Arial" w:hAnsi="Arial"/>
          <w:b/>
          <w:bCs/>
          <w:spacing w:val="22"/>
          <w:rtl w:val="true"/>
        </w:rPr>
        <w:t xml:space="preserve">) </w:t>
      </w:r>
      <w:r>
        <w:rPr>
          <w:rFonts w:ascii="Arial" w:hAnsi="Arial" w:cs="Arial"/>
          <w:b/>
          <w:b/>
          <w:bCs/>
          <w:spacing w:val="22"/>
          <w:rtl w:val="true"/>
        </w:rPr>
        <w:t>להימנע מעשיית המעשה</w:t>
      </w:r>
      <w:r>
        <w:rPr>
          <w:rFonts w:cs="Arial" w:ascii="Arial" w:hAnsi="Arial"/>
          <w:b/>
          <w:bCs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spacing w:val="22"/>
        </w:rPr>
      </w:pPr>
      <w:r>
        <w:rPr>
          <w:rFonts w:cs="Arial" w:ascii="Arial" w:hAnsi="Arial"/>
          <w:b/>
          <w:bCs/>
          <w:spacing w:val="22"/>
          <w:rtl w:val="true"/>
        </w:rPr>
        <w:t>(</w:t>
      </w:r>
      <w:r>
        <w:rPr>
          <w:rFonts w:ascii="Arial" w:hAnsi="Arial" w:cs="Arial"/>
          <w:b/>
          <w:b/>
          <w:bCs/>
          <w:spacing w:val="22"/>
          <w:rtl w:val="true"/>
        </w:rPr>
        <w:t>ב</w:t>
      </w:r>
      <w:r>
        <w:rPr>
          <w:rFonts w:cs="Arial" w:ascii="Arial" w:hAnsi="Arial"/>
          <w:b/>
          <w:bCs/>
          <w:spacing w:val="22"/>
          <w:rtl w:val="true"/>
        </w:rPr>
        <w:t>)</w:t>
      </w:r>
      <w:r>
        <w:rPr>
          <w:rFonts w:cs="Arial" w:ascii="Arial" w:hAnsi="Arial"/>
          <w:b/>
          <w:bCs/>
          <w:spacing w:val="22"/>
          <w:rtl w:val="true"/>
        </w:rPr>
        <w:tab/>
      </w:r>
      <w:r>
        <w:rPr>
          <w:rFonts w:ascii="Arial" w:hAnsi="Arial" w:cs="Arial"/>
          <w:b/>
          <w:b/>
          <w:bCs/>
          <w:spacing w:val="22"/>
          <w:rtl w:val="true"/>
        </w:rPr>
        <w:t>במצב שבו מעשהו של הנאשם חרג במידה מועטה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בנסיבות העניין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מתחום הסבירות הנדרשת לפי סעיף </w:t>
      </w:r>
      <w:r>
        <w:rPr>
          <w:rFonts w:cs="Arial" w:ascii="Arial" w:hAnsi="Arial"/>
          <w:b/>
          <w:bCs/>
          <w:spacing w:val="22"/>
        </w:rPr>
        <w:t>34</w:t>
      </w:r>
      <w:r>
        <w:rPr>
          <w:rFonts w:ascii="Arial" w:hAnsi="Arial" w:cs="Arial"/>
          <w:b/>
          <w:b/>
          <w:bCs/>
          <w:spacing w:val="22"/>
          <w:rtl w:val="true"/>
        </w:rPr>
        <w:t>טז</w:t>
      </w:r>
      <w:r>
        <w:rPr>
          <w:rFonts w:cs="Arial" w:ascii="Arial" w:hAnsi="Arial"/>
          <w:b/>
          <w:bCs/>
          <w:spacing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pacing w:val="22"/>
          <w:rtl w:val="true"/>
        </w:rPr>
        <w:t>לשם תחולת הסייג של הגנה עצמית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צורך או כורח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לפי סעיפים </w:t>
      </w:r>
      <w:r>
        <w:rPr>
          <w:rFonts w:cs="Arial" w:ascii="Arial" w:hAnsi="Arial"/>
          <w:b/>
          <w:bCs/>
          <w:spacing w:val="22"/>
        </w:rPr>
        <w:t>34</w:t>
      </w:r>
      <w:r>
        <w:rPr>
          <w:rFonts w:ascii="Arial" w:hAnsi="Arial" w:cs="Arial"/>
          <w:b/>
          <w:b/>
          <w:bCs/>
          <w:spacing w:val="22"/>
          <w:rtl w:val="true"/>
        </w:rPr>
        <w:t>י</w:t>
      </w:r>
      <w:r>
        <w:rPr>
          <w:rFonts w:cs="Arial" w:ascii="Arial" w:hAnsi="Arial"/>
          <w:b/>
          <w:bCs/>
          <w:spacing w:val="22"/>
          <w:rtl w:val="true"/>
        </w:rPr>
        <w:t xml:space="preserve">', </w:t>
      </w:r>
      <w:r>
        <w:rPr>
          <w:rFonts w:cs="Arial" w:ascii="Arial" w:hAnsi="Arial"/>
          <w:b/>
          <w:bCs/>
          <w:spacing w:val="22"/>
        </w:rPr>
        <w:t>34</w:t>
      </w:r>
      <w:r>
        <w:rPr>
          <w:rFonts w:ascii="Arial" w:hAnsi="Arial" w:cs="Arial"/>
          <w:b/>
          <w:b/>
          <w:bCs/>
          <w:spacing w:val="22"/>
          <w:rtl w:val="true"/>
        </w:rPr>
        <w:t>יא</w:t>
      </w:r>
      <w:r>
        <w:rPr>
          <w:rFonts w:cs="Arial" w:ascii="Arial" w:hAnsi="Arial"/>
          <w:b/>
          <w:bCs/>
          <w:spacing w:val="22"/>
          <w:rtl w:val="true"/>
        </w:rPr>
        <w:t xml:space="preserve">', </w:t>
      </w:r>
      <w:r>
        <w:rPr>
          <w:rFonts w:cs="Arial" w:ascii="Arial" w:hAnsi="Arial"/>
          <w:b/>
          <w:bCs/>
          <w:spacing w:val="22"/>
        </w:rPr>
        <w:t>34</w:t>
      </w:r>
      <w:r>
        <w:rPr>
          <w:rFonts w:ascii="Arial" w:hAnsi="Arial" w:cs="Arial"/>
          <w:b/>
          <w:b/>
          <w:bCs/>
          <w:spacing w:val="22"/>
          <w:rtl w:val="true"/>
        </w:rPr>
        <w:t>יב</w:t>
      </w:r>
      <w:r>
        <w:rPr>
          <w:rFonts w:cs="Arial" w:ascii="Arial" w:hAnsi="Arial"/>
          <w:b/>
          <w:bCs/>
          <w:spacing w:val="22"/>
          <w:rtl w:val="true"/>
        </w:rPr>
        <w:t>'.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spacing w:val="22"/>
        </w:rPr>
      </w:pPr>
      <w:r>
        <w:rPr>
          <w:rFonts w:cs="Arial" w:ascii="Arial" w:hAnsi="Arial"/>
          <w:b/>
          <w:bCs/>
          <w:spacing w:val="22"/>
          <w:rtl w:val="true"/>
        </w:rPr>
        <w:t>(</w:t>
      </w:r>
      <w:r>
        <w:rPr>
          <w:rFonts w:ascii="Arial" w:hAnsi="Arial" w:cs="Arial"/>
          <w:b/>
          <w:b/>
          <w:bCs/>
          <w:spacing w:val="22"/>
          <w:rtl w:val="true"/>
        </w:rPr>
        <w:t>ג</w:t>
      </w:r>
      <w:r>
        <w:rPr>
          <w:rFonts w:cs="Arial" w:ascii="Arial" w:hAnsi="Arial"/>
          <w:b/>
          <w:bCs/>
          <w:spacing w:val="22"/>
          <w:rtl w:val="true"/>
        </w:rPr>
        <w:t>)</w:t>
      </w:r>
      <w:r>
        <w:rPr>
          <w:rFonts w:cs="Arial" w:ascii="Arial" w:hAnsi="Arial"/>
          <w:b/>
          <w:bCs/>
          <w:spacing w:val="22"/>
          <w:rtl w:val="true"/>
        </w:rPr>
        <w:tab/>
      </w:r>
      <w:r>
        <w:rPr>
          <w:rFonts w:ascii="Arial" w:hAnsi="Arial" w:cs="Arial"/>
          <w:b/>
          <w:b/>
          <w:bCs/>
          <w:spacing w:val="22"/>
          <w:rtl w:val="true"/>
        </w:rPr>
        <w:t>כשהנאשם היה נתון במצב של מצוקה נפשית קשה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עקב התעללות חמורה ומתמשכת בו או  בבן משפחתו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בידי מי שהנאשם גרם למותו</w:t>
      </w:r>
      <w:r>
        <w:rPr>
          <w:rFonts w:cs="Arial" w:ascii="Arial" w:hAnsi="Arial"/>
          <w:b/>
          <w:bCs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spacing w:val="22"/>
        </w:rPr>
      </w:pPr>
      <w:r>
        <w:rPr>
          <w:rFonts w:cs="Arial" w:ascii="Arial" w:hAnsi="Arial"/>
          <w:b/>
          <w:bCs/>
          <w:spacing w:val="22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  <w:t>(</w:t>
      </w:r>
      <w:r>
        <w:rPr>
          <w:rFonts w:ascii="Arial" w:hAnsi="Arial" w:cs="Arial"/>
          <w:spacing w:val="22"/>
          <w:rtl w:val="true"/>
        </w:rPr>
        <w:t xml:space="preserve">האכסניה להוראות אלה מצויה כיום בסעיף </w:t>
      </w:r>
      <w:hyperlink r:id="rId52"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301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)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</w:t>
      </w:r>
      <w:hyperlink r:id="rId53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חוק העונשין</w:t>
        </w:r>
      </w:hyperlink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כפי שתוקן בתיקון </w:t>
      </w:r>
      <w:r>
        <w:rPr>
          <w:rFonts w:cs="Arial" w:ascii="Arial" w:hAnsi="Arial"/>
          <w:spacing w:val="22"/>
        </w:rPr>
        <w:t>137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סעיף </w:t>
      </w:r>
      <w:r>
        <w:rPr>
          <w:rFonts w:cs="Arial" w:ascii="Arial" w:hAnsi="Arial"/>
          <w:spacing w:val="22"/>
        </w:rPr>
        <w:t>25</w:t>
      </w:r>
      <w:r>
        <w:rPr>
          <w:rFonts w:cs="Arial" w:ascii="Arial" w:hAnsi="Arial"/>
          <w:spacing w:val="22"/>
          <w:rtl w:val="true"/>
        </w:rPr>
        <w:t>(</w:t>
      </w:r>
      <w:r>
        <w:rPr>
          <w:rFonts w:ascii="Arial" w:hAnsi="Arial" w:cs="Arial"/>
          <w:spacing w:val="22"/>
          <w:rtl w:val="true"/>
        </w:rPr>
        <w:t>ב</w:t>
      </w:r>
      <w:r>
        <w:rPr>
          <w:rFonts w:cs="Arial" w:ascii="Arial" w:hAnsi="Arial"/>
          <w:spacing w:val="22"/>
          <w:rtl w:val="true"/>
        </w:rPr>
        <w:t xml:space="preserve">) </w:t>
      </w:r>
      <w:r>
        <w:rPr>
          <w:rFonts w:ascii="Arial" w:hAnsi="Arial" w:cs="Arial"/>
          <w:spacing w:val="22"/>
          <w:rtl w:val="true"/>
        </w:rPr>
        <w:t>לתיקון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קובע כי על עבירה שבוצעה לפני יום התחילה וטרם ניתן פסק דין חלוט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יחולו הוראות </w:t>
      </w:r>
      <w:hyperlink r:id="rId54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5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)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</w:t>
      </w:r>
      <w:hyperlink r:id="rId55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חוק העונשין</w:t>
        </w:r>
      </w:hyperlink>
      <w:r>
        <w:rPr>
          <w:rFonts w:ascii="Arial" w:hAnsi="Arial" w:cs="Arial"/>
          <w:spacing w:val="22"/>
          <w:rtl w:val="true"/>
        </w:rPr>
        <w:t xml:space="preserve"> </w:t>
      </w:r>
      <w:r>
        <w:rPr>
          <w:rFonts w:cs="Arial" w:ascii="Arial" w:hAnsi="Arial"/>
          <w:spacing w:val="22"/>
          <w:rtl w:val="true"/>
        </w:rPr>
        <w:t>(</w:t>
      </w:r>
      <w:r>
        <w:rPr>
          <w:rFonts w:ascii="Arial" w:hAnsi="Arial" w:cs="Arial"/>
          <w:spacing w:val="22"/>
          <w:rtl w:val="true"/>
        </w:rPr>
        <w:t>תחולתה בחיקוק המקל</w:t>
      </w:r>
      <w:r>
        <w:rPr>
          <w:rFonts w:cs="Arial" w:ascii="Arial" w:hAnsi="Arial"/>
          <w:spacing w:val="22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22"/>
        </w:rPr>
      </w:pPr>
      <w:r>
        <w:rPr>
          <w:rFonts w:cs="Arial" w:ascii="Arial" w:hAnsi="Arial"/>
          <w:b/>
          <w:bCs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22"/>
        </w:rPr>
      </w:pPr>
      <w:r>
        <w:rPr>
          <w:rFonts w:cs="Arial" w:ascii="Arial" w:hAnsi="Arial"/>
          <w:b/>
          <w:bCs/>
          <w:spacing w:val="22"/>
        </w:rPr>
        <w:t>12</w:t>
      </w:r>
      <w:r>
        <w:rPr>
          <w:rFonts w:cs="Arial" w:ascii="Arial" w:hAnsi="Arial"/>
          <w:b/>
          <w:bCs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>באשר להוראת סעיף זה נאמר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ב</w:t>
      </w:r>
      <w:hyperlink r:id="rId56">
        <w:r>
          <w:rPr>
            <w:rStyle w:val="Hyperlink"/>
            <w:rFonts w:ascii="Arial" w:hAnsi="Arial" w:cs="Arial"/>
            <w:b/>
            <w:b/>
            <w:bCs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pacing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pacing w:val="22"/>
            <w:u w:val="single"/>
          </w:rPr>
          <w:t>3039/15</w:t>
        </w:r>
      </w:hyperlink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בין היתר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כלהלן</w:t>
      </w:r>
      <w:r>
        <w:rPr>
          <w:rFonts w:cs="Arial" w:ascii="Arial" w:hAnsi="Arial"/>
          <w:spacing w:val="22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  <w:spacing w:val="22"/>
        </w:rPr>
      </w:pP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סעיף </w:t>
      </w:r>
      <w:r>
        <w:rPr>
          <w:rFonts w:cs="Arial" w:ascii="Arial" w:hAnsi="Arial"/>
          <w:b/>
          <w:bCs/>
          <w:spacing w:val="22"/>
        </w:rPr>
        <w:t>300</w:t>
      </w:r>
      <w:r>
        <w:rPr>
          <w:rFonts w:ascii="Arial" w:hAnsi="Arial" w:cs="Arial"/>
          <w:b/>
          <w:b/>
          <w:bCs/>
          <w:spacing w:val="22"/>
          <w:rtl w:val="true"/>
        </w:rPr>
        <w:t>א דורש שלושה תנאים מצטברים</w:t>
      </w:r>
      <w:r>
        <w:rPr>
          <w:rFonts w:cs="Arial" w:ascii="Arial" w:hAnsi="Arial"/>
          <w:b/>
          <w:bCs/>
          <w:spacing w:val="22"/>
          <w:rtl w:val="true"/>
        </w:rPr>
        <w:t xml:space="preserve">: 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הפגם הנפשי ממנו סובל הנאשם הוא </w:t>
      </w:r>
      <w:r>
        <w:rPr>
          <w:rFonts w:cs="Arial" w:ascii="Arial" w:hAnsi="Arial"/>
          <w:b/>
          <w:bCs/>
          <w:spacing w:val="22"/>
          <w:rtl w:val="true"/>
        </w:rPr>
        <w:t>"</w:t>
      </w:r>
      <w:r>
        <w:rPr>
          <w:rFonts w:ascii="Arial" w:hAnsi="Arial" w:cs="Arial"/>
          <w:b/>
          <w:b/>
          <w:bCs/>
          <w:spacing w:val="22"/>
          <w:rtl w:val="true"/>
        </w:rPr>
        <w:t>הפרעה נפשית חמורה</w:t>
      </w:r>
      <w:r>
        <w:rPr>
          <w:rFonts w:cs="Arial" w:ascii="Arial" w:hAnsi="Arial"/>
          <w:b/>
          <w:bCs/>
          <w:spacing w:val="22"/>
          <w:rtl w:val="true"/>
        </w:rPr>
        <w:t xml:space="preserve">" 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או </w:t>
      </w:r>
      <w:r>
        <w:rPr>
          <w:rFonts w:cs="Arial" w:ascii="Arial" w:hAnsi="Arial"/>
          <w:b/>
          <w:bCs/>
          <w:spacing w:val="22"/>
          <w:rtl w:val="true"/>
        </w:rPr>
        <w:t>"</w:t>
      </w:r>
      <w:r>
        <w:rPr>
          <w:rFonts w:ascii="Arial" w:hAnsi="Arial" w:cs="Arial"/>
          <w:b/>
          <w:b/>
          <w:bCs/>
          <w:spacing w:val="22"/>
          <w:rtl w:val="true"/>
        </w:rPr>
        <w:t>ליקוי בכושר השכלי</w:t>
      </w:r>
      <w:r>
        <w:rPr>
          <w:rFonts w:cs="Arial" w:ascii="Arial" w:hAnsi="Arial"/>
          <w:b/>
          <w:bCs/>
          <w:spacing w:val="22"/>
          <w:rtl w:val="true"/>
        </w:rPr>
        <w:t xml:space="preserve">"; 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מתקיימת אחת החלופות </w:t>
      </w:r>
      <w:r>
        <w:rPr>
          <w:rFonts w:ascii="Arial" w:hAnsi="Arial" w:cs="Arial"/>
          <w:b/>
          <w:b/>
          <w:bCs/>
          <w:spacing w:val="22"/>
          <w:rtl w:val="true"/>
        </w:rPr>
        <w:t>–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 הנאשם לא הבין את אשר הוא עושה או את הפסול המוסרי שטמון במעשהו </w:t>
      </w:r>
      <w:r>
        <w:rPr>
          <w:rFonts w:cs="Arial" w:ascii="Arial" w:hAnsi="Arial"/>
          <w:b/>
          <w:bCs/>
          <w:spacing w:val="22"/>
          <w:rtl w:val="true"/>
        </w:rPr>
        <w:t>(</w:t>
      </w:r>
      <w:r>
        <w:rPr>
          <w:rFonts w:ascii="Arial" w:hAnsi="Arial" w:cs="Arial"/>
          <w:b/>
          <w:b/>
          <w:bCs/>
          <w:spacing w:val="22"/>
          <w:rtl w:val="true"/>
        </w:rPr>
        <w:t>החלופה הקוגנטיבית</w:t>
      </w:r>
      <w:r>
        <w:rPr>
          <w:rFonts w:cs="Arial" w:ascii="Arial" w:hAnsi="Arial"/>
          <w:b/>
          <w:bCs/>
          <w:spacing w:val="22"/>
          <w:rtl w:val="true"/>
        </w:rPr>
        <w:t xml:space="preserve">), 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או לא יכול להימנע מלנהוג כפי שנהג </w:t>
      </w:r>
      <w:r>
        <w:rPr>
          <w:rFonts w:cs="Arial" w:ascii="Arial" w:hAnsi="Arial"/>
          <w:b/>
          <w:bCs/>
          <w:spacing w:val="22"/>
          <w:rtl w:val="true"/>
        </w:rPr>
        <w:t>(</w:t>
      </w:r>
      <w:r>
        <w:rPr>
          <w:rFonts w:ascii="Arial" w:hAnsi="Arial" w:cs="Arial"/>
          <w:b/>
          <w:b/>
          <w:bCs/>
          <w:spacing w:val="22"/>
          <w:rtl w:val="true"/>
        </w:rPr>
        <w:t>החלופה הרצונית</w:t>
      </w:r>
      <w:r>
        <w:rPr>
          <w:rFonts w:cs="Arial" w:ascii="Arial" w:hAnsi="Arial"/>
          <w:b/>
          <w:bCs/>
          <w:spacing w:val="22"/>
          <w:rtl w:val="true"/>
        </w:rPr>
        <w:t xml:space="preserve">); </w:t>
      </w:r>
      <w:r>
        <w:rPr>
          <w:rFonts w:ascii="Arial" w:hAnsi="Arial" w:cs="Arial"/>
          <w:b/>
          <w:b/>
          <w:bCs/>
          <w:spacing w:val="22"/>
          <w:rtl w:val="true"/>
        </w:rPr>
        <w:t>וקיומו של קשר סיבתי בין שני התנאים האמורים</w:t>
      </w:r>
      <w:r>
        <w:rPr>
          <w:rFonts w:cs="Arial" w:ascii="Arial" w:hAnsi="Arial"/>
          <w:b/>
          <w:bCs/>
          <w:spacing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22"/>
          <w:rtl w:val="true"/>
        </w:rPr>
        <w:t>הדגש אינו על סיווג ההפרעה הנפשית ממנה סבל הנאשם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אלא על עוצמת התסמינים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קרי עד כמה ההפרעה הנפשית פגעה והשפיעה על הנאשם מבחינה קוגנטיבית ורצונית </w:t>
      </w:r>
      <w:r>
        <w:rPr>
          <w:rFonts w:cs="Arial" w:ascii="Arial" w:hAnsi="Arial"/>
          <w:b/>
          <w:bCs/>
          <w:spacing w:val="22"/>
          <w:rtl w:val="true"/>
        </w:rPr>
        <w:t>(</w:t>
      </w:r>
      <w:r>
        <w:rPr>
          <w:rFonts w:ascii="Arial" w:hAnsi="Arial" w:cs="Arial"/>
          <w:b/>
          <w:b/>
          <w:bCs/>
          <w:spacing w:val="22"/>
          <w:rtl w:val="true"/>
        </w:rPr>
        <w:t>ראו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לדוגמא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hyperlink r:id="rId57">
        <w:r>
          <w:rPr>
            <w:rStyle w:val="Hyperlink"/>
            <w:rFonts w:ascii="Arial" w:hAnsi="Arial" w:cs="Arial"/>
            <w:b/>
            <w:b/>
            <w:bCs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pacing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pacing w:val="22"/>
            <w:u w:val="single"/>
          </w:rPr>
          <w:t>5417/07</w:t>
        </w:r>
      </w:hyperlink>
      <w:r>
        <w:rPr>
          <w:rFonts w:cs="Arial" w:ascii="Arial" w:hAnsi="Arial"/>
          <w:b/>
          <w:bCs/>
          <w:spacing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pacing w:val="22"/>
          <w:rtl w:val="true"/>
        </w:rPr>
        <w:t>בונה נ</w:t>
      </w:r>
      <w:r>
        <w:rPr>
          <w:rFonts w:cs="Arial" w:ascii="Arial" w:hAnsi="Arial"/>
          <w:b/>
          <w:bCs/>
          <w:spacing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מדינת ישראל </w:t>
      </w:r>
      <w:r>
        <w:rPr>
          <w:rFonts w:cs="Arial" w:ascii="Arial" w:hAnsi="Arial"/>
          <w:b/>
          <w:bCs/>
          <w:spacing w:val="22"/>
          <w:rtl w:val="true"/>
        </w:rPr>
        <w:t>(</w:t>
      </w:r>
      <w:r>
        <w:rPr>
          <w:rFonts w:cs="Arial" w:ascii="Arial" w:hAnsi="Arial"/>
          <w:b/>
          <w:bCs/>
          <w:spacing w:val="22"/>
        </w:rPr>
        <w:t>39.5.2013</w:t>
      </w:r>
      <w:r>
        <w:rPr>
          <w:rFonts w:cs="Arial" w:ascii="Arial" w:hAnsi="Arial"/>
          <w:b/>
          <w:bCs/>
          <w:spacing w:val="22"/>
          <w:rtl w:val="true"/>
        </w:rPr>
        <w:t>)) (</w:t>
      </w:r>
      <w:r>
        <w:rPr>
          <w:rFonts w:ascii="Arial" w:hAnsi="Arial" w:cs="Arial"/>
          <w:b/>
          <w:b/>
          <w:bCs/>
          <w:spacing w:val="22"/>
          <w:rtl w:val="true"/>
        </w:rPr>
        <w:t>להלן</w:t>
      </w:r>
      <w:r>
        <w:rPr>
          <w:rFonts w:cs="Arial" w:ascii="Arial" w:hAnsi="Arial"/>
          <w:b/>
          <w:bCs/>
          <w:spacing w:val="22"/>
          <w:rtl w:val="true"/>
        </w:rPr>
        <w:t xml:space="preserve">: </w:t>
      </w:r>
      <w:r>
        <w:rPr>
          <w:rFonts w:ascii="Arial" w:hAnsi="Arial" w:cs="Arial"/>
          <w:b/>
          <w:b/>
          <w:bCs/>
          <w:spacing w:val="22"/>
          <w:rtl w:val="true"/>
        </w:rPr>
        <w:t>עניין בונר</w:t>
      </w:r>
      <w:r>
        <w:rPr>
          <w:rFonts w:cs="Arial" w:ascii="Arial" w:hAnsi="Arial"/>
          <w:b/>
          <w:bCs/>
          <w:spacing w:val="22"/>
          <w:rtl w:val="true"/>
        </w:rPr>
        <w:t xml:space="preserve">). </w:t>
      </w:r>
      <w:r>
        <w:rPr>
          <w:rFonts w:ascii="Arial" w:hAnsi="Arial" w:cs="Arial"/>
          <w:b/>
          <w:b/>
          <w:bCs/>
          <w:spacing w:val="22"/>
          <w:rtl w:val="true"/>
        </w:rPr>
        <w:t>בנוסף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נטל ההוכחה לגבי קיומם של התנאים הקבועים בסעיף </w:t>
      </w:r>
      <w:r>
        <w:rPr>
          <w:rFonts w:cs="Arial" w:ascii="Arial" w:hAnsi="Arial"/>
          <w:b/>
          <w:bCs/>
          <w:spacing w:val="22"/>
        </w:rPr>
        <w:t>300</w:t>
      </w:r>
      <w:r>
        <w:rPr>
          <w:rFonts w:ascii="Arial" w:hAnsi="Arial" w:cs="Arial"/>
          <w:b/>
          <w:b/>
          <w:bCs/>
          <w:spacing w:val="22"/>
          <w:rtl w:val="true"/>
        </w:rPr>
        <w:t>א רובץ לפתחו של הנאשם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כאשר רמת ההוכחה היא במאזן ההסתברות</w:t>
      </w:r>
      <w:r>
        <w:rPr>
          <w:rFonts w:cs="Arial" w:ascii="Arial" w:hAnsi="Arial"/>
          <w:b/>
          <w:bCs/>
          <w:spacing w:val="22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22"/>
        </w:rPr>
      </w:pPr>
      <w:r>
        <w:rPr>
          <w:rFonts w:cs="Arial" w:ascii="Arial" w:hAnsi="Arial"/>
          <w:b/>
          <w:bCs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22"/>
        </w:rPr>
      </w:pPr>
      <w:r>
        <w:rPr>
          <w:rFonts w:cs="Arial" w:ascii="Arial" w:hAnsi="Arial"/>
          <w:b/>
          <w:bCs/>
          <w:spacing w:val="22"/>
          <w:rtl w:val="true"/>
        </w:rPr>
        <w:tab/>
      </w:r>
      <w:r>
        <w:rPr>
          <w:rFonts w:ascii="Arial" w:hAnsi="Arial" w:cs="Arial"/>
          <w:spacing w:val="22"/>
          <w:rtl w:val="true"/>
        </w:rPr>
        <w:t>ב</w:t>
      </w:r>
      <w:hyperlink r:id="rId58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3039/15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הנ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 xml:space="preserve">ל נאמר כי הפסיקה לא הכירה בתסמונת פוסט טראומתית כמצע להחלת </w:t>
      </w:r>
      <w:hyperlink r:id="rId59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34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ח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'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או </w:t>
      </w:r>
      <w:hyperlink r:id="rId60"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300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'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</w:t>
      </w:r>
      <w:hyperlink r:id="rId61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חוק העונשין</w:t>
        </w:r>
      </w:hyperlink>
      <w:r>
        <w:rPr>
          <w:rFonts w:ascii="Arial" w:hAnsi="Arial" w:cs="Arial"/>
          <w:spacing w:val="22"/>
          <w:rtl w:val="true"/>
        </w:rPr>
        <w:t xml:space="preserve"> ונאמר שם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עוד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כי המקרה היחיד בו עלה הנושא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מבלי שנדון לגופו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הוא בעניין </w:t>
      </w:r>
      <w:r>
        <w:rPr>
          <w:rFonts w:ascii="Arial" w:hAnsi="Arial" w:cs="Arial"/>
          <w:b/>
          <w:b/>
          <w:bCs/>
          <w:spacing w:val="22"/>
          <w:rtl w:val="true"/>
        </w:rPr>
        <w:t>עוקב</w:t>
      </w:r>
      <w:r>
        <w:rPr>
          <w:rFonts w:ascii="Arial" w:hAnsi="Arial" w:cs="Arial"/>
          <w:spacing w:val="22"/>
          <w:rtl w:val="true"/>
        </w:rPr>
        <w:t xml:space="preserve"> </w:t>
      </w:r>
      <w:r>
        <w:rPr>
          <w:rFonts w:cs="Arial" w:ascii="Arial" w:hAnsi="Arial"/>
          <w:spacing w:val="22"/>
          <w:rtl w:val="true"/>
        </w:rPr>
        <w:t>(</w:t>
      </w:r>
      <w:r>
        <w:rPr>
          <w:rFonts w:ascii="Arial" w:hAnsi="Arial" w:cs="Arial"/>
          <w:spacing w:val="22"/>
          <w:rtl w:val="true"/>
        </w:rPr>
        <w:t>ב</w:t>
      </w:r>
      <w:hyperlink r:id="rId62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3962/99</w:t>
        </w:r>
      </w:hyperlink>
      <w:r>
        <w:rPr>
          <w:rFonts w:cs="Arial" w:ascii="Arial" w:hAnsi="Arial"/>
          <w:spacing w:val="22"/>
          <w:rtl w:val="true"/>
        </w:rPr>
        <w:t xml:space="preserve">). </w:t>
      </w:r>
      <w:r>
        <w:rPr>
          <w:rFonts w:ascii="Arial" w:hAnsi="Arial" w:cs="Arial"/>
          <w:spacing w:val="22"/>
          <w:rtl w:val="true"/>
        </w:rPr>
        <w:t>אולם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שם עיקר המשקל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או חלק נכבד ממנו</w:t>
      </w:r>
      <w:r>
        <w:rPr>
          <w:rFonts w:cs="Arial" w:ascii="Arial" w:hAnsi="Arial"/>
          <w:spacing w:val="22"/>
          <w:rtl w:val="true"/>
        </w:rPr>
        <w:t>, "</w:t>
      </w:r>
      <w:r>
        <w:rPr>
          <w:rFonts w:ascii="Arial" w:hAnsi="Arial" w:cs="Arial"/>
          <w:b/>
          <w:b/>
          <w:bCs/>
          <w:spacing w:val="22"/>
          <w:rtl w:val="true"/>
        </w:rPr>
        <w:t>ניתן דווקא לממצא של ליקוי אורגני שגרם לנזק מוחי</w:t>
      </w:r>
      <w:r>
        <w:rPr>
          <w:rFonts w:cs="Arial" w:ascii="Arial" w:hAnsi="Arial"/>
          <w:b/>
          <w:bCs/>
          <w:spacing w:val="22"/>
          <w:rtl w:val="true"/>
        </w:rPr>
        <w:t xml:space="preserve">...".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  <w:tab/>
      </w:r>
      <w:r>
        <w:rPr>
          <w:rFonts w:ascii="Arial" w:hAnsi="Arial" w:cs="Arial"/>
          <w:spacing w:val="22"/>
          <w:rtl w:val="true"/>
        </w:rPr>
        <w:t>ב</w:t>
      </w:r>
      <w:hyperlink r:id="rId63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3039/15</w:t>
        </w:r>
      </w:hyperlink>
      <w:r>
        <w:rPr>
          <w:rFonts w:cs="Arial" w:ascii="Arial" w:hAnsi="Arial"/>
          <w:spacing w:val="22"/>
          <w:rtl w:val="true"/>
        </w:rPr>
        <w:t xml:space="preserve">  </w:t>
      </w:r>
      <w:r>
        <w:rPr>
          <w:rFonts w:ascii="Arial" w:hAnsi="Arial" w:cs="Arial"/>
          <w:spacing w:val="22"/>
          <w:rtl w:val="true"/>
        </w:rPr>
        <w:t>הנ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 xml:space="preserve">ל עמדה השאלה האם ניתן להכיר בפוסט טראומה כבסיס להחלת </w:t>
      </w:r>
      <w:hyperlink r:id="rId64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34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ח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'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או </w:t>
      </w:r>
      <w:hyperlink r:id="rId65"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300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'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</w:t>
      </w:r>
      <w:hyperlink r:id="rId66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חוק העונשין</w:t>
        </w:r>
      </w:hyperlink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וכך נאמר</w:t>
      </w:r>
      <w:r>
        <w:rPr>
          <w:rFonts w:cs="Arial" w:ascii="Arial" w:hAnsi="Arial"/>
          <w:spacing w:val="22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22"/>
        </w:rPr>
      </w:pPr>
      <w:r>
        <w:rPr>
          <w:rFonts w:cs="Arial" w:ascii="Arial" w:hAnsi="Arial"/>
          <w:spacing w:val="22"/>
          <w:rtl w:val="true"/>
        </w:rPr>
        <w:tab/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b/>
          <w:b/>
          <w:bCs/>
          <w:spacing w:val="22"/>
          <w:rtl w:val="true"/>
        </w:rPr>
        <w:t>במישור התיאורטי אין לשלול כי תסמונת פוסט טראומטית יכולה לעלות כדי הפרעה נפשית בעוצמה כזו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שתהווה את המצע שעליו נזרע המצב לצורך התקיימות שלושת היסודות של סעיף </w:t>
      </w:r>
      <w:r>
        <w:rPr>
          <w:rFonts w:cs="Arial" w:ascii="Arial" w:hAnsi="Arial"/>
          <w:b/>
          <w:bCs/>
          <w:spacing w:val="22"/>
        </w:rPr>
        <w:t>34</w:t>
      </w:r>
      <w:r>
        <w:rPr>
          <w:rFonts w:ascii="Arial" w:hAnsi="Arial" w:cs="Arial"/>
          <w:b/>
          <w:b/>
          <w:bCs/>
          <w:spacing w:val="22"/>
          <w:rtl w:val="true"/>
        </w:rPr>
        <w:t>ח</w:t>
      </w:r>
      <w:r>
        <w:rPr>
          <w:rFonts w:cs="Arial" w:ascii="Arial" w:hAnsi="Arial"/>
          <w:b/>
          <w:bCs/>
          <w:spacing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או סעיף </w:t>
      </w:r>
      <w:r>
        <w:rPr>
          <w:rFonts w:cs="Arial" w:ascii="Arial" w:hAnsi="Arial"/>
          <w:b/>
          <w:bCs/>
          <w:spacing w:val="22"/>
        </w:rPr>
        <w:t>300</w:t>
      </w:r>
      <w:r>
        <w:rPr>
          <w:rFonts w:ascii="Arial" w:hAnsi="Arial" w:cs="Arial"/>
          <w:b/>
          <w:b/>
          <w:bCs/>
          <w:spacing w:val="22"/>
          <w:rtl w:val="true"/>
        </w:rPr>
        <w:t>א</w:t>
      </w:r>
      <w:r>
        <w:rPr>
          <w:rFonts w:cs="Arial" w:ascii="Arial" w:hAnsi="Arial"/>
          <w:b/>
          <w:bCs/>
          <w:spacing w:val="22"/>
          <w:rtl w:val="true"/>
        </w:rPr>
        <w:t>' (</w:t>
      </w:r>
      <w:r>
        <w:rPr>
          <w:rFonts w:ascii="Arial" w:hAnsi="Arial" w:cs="Arial"/>
          <w:b/>
          <w:b/>
          <w:bCs/>
          <w:spacing w:val="22"/>
          <w:rtl w:val="true"/>
        </w:rPr>
        <w:t>רבין ולבני</w:t>
      </w:r>
      <w:r>
        <w:rPr>
          <w:rFonts w:cs="Arial" w:ascii="Arial" w:hAnsi="Arial"/>
          <w:b/>
          <w:bCs/>
          <w:spacing w:val="22"/>
          <w:rtl w:val="true"/>
        </w:rPr>
        <w:t xml:space="preserve">). </w:t>
      </w:r>
      <w:r>
        <w:rPr>
          <w:rFonts w:ascii="Arial" w:hAnsi="Arial" w:cs="Arial"/>
          <w:b/>
          <w:b/>
          <w:bCs/>
          <w:spacing w:val="22"/>
          <w:rtl w:val="true"/>
        </w:rPr>
        <w:t>אך במה הדברים אמורים</w:t>
      </w:r>
      <w:r>
        <w:rPr>
          <w:rFonts w:cs="Arial" w:ascii="Arial" w:hAnsi="Arial"/>
          <w:b/>
          <w:bCs/>
          <w:spacing w:val="22"/>
          <w:rtl w:val="true"/>
        </w:rPr>
        <w:t xml:space="preserve">? </w:t>
      </w:r>
      <w:r>
        <w:rPr>
          <w:rFonts w:ascii="Arial" w:hAnsi="Arial" w:cs="Arial"/>
          <w:b/>
          <w:b/>
          <w:bCs/>
          <w:spacing w:val="22"/>
          <w:rtl w:val="true"/>
        </w:rPr>
        <w:t>במקום בו התסמינים של הנאשם מעידים על מצב פסיכוטי או קרוב לכך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כאשר קיימת פגיעה חמורה בשיפוט ובבוחן המציאות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כאשר הנאשם נמצא במצב של מציאות מדומה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של דיסוציאציה שאליה נכנס עקב </w:t>
      </w:r>
      <w:r>
        <w:rPr>
          <w:rFonts w:cs="Arial" w:ascii="Arial" w:hAnsi="Arial"/>
          <w:b/>
          <w:bCs/>
          <w:spacing w:val="22"/>
          <w:rtl w:val="true"/>
        </w:rPr>
        <w:t>'</w:t>
      </w:r>
      <w:r>
        <w:rPr>
          <w:rFonts w:ascii="Arial" w:hAnsi="Arial" w:cs="Arial"/>
          <w:b/>
          <w:b/>
          <w:bCs/>
          <w:spacing w:val="22"/>
          <w:rtl w:val="true"/>
        </w:rPr>
        <w:t>טריגר</w:t>
      </w:r>
      <w:r>
        <w:rPr>
          <w:rFonts w:cs="Arial" w:ascii="Arial" w:hAnsi="Arial"/>
          <w:b/>
          <w:bCs/>
          <w:spacing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pacing w:val="22"/>
          <w:rtl w:val="true"/>
        </w:rPr>
        <w:t>כזה או אחר</w:t>
      </w:r>
      <w:r>
        <w:rPr>
          <w:rFonts w:cs="Arial" w:ascii="Arial" w:hAnsi="Arial"/>
          <w:b/>
          <w:bCs/>
          <w:spacing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22"/>
          <w:rtl w:val="true"/>
        </w:rPr>
        <w:t>מכאן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שאין להביא בחשבון מגוון של תסמינים אשר מאפיינים את התסמונת הפוסט טראומטית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אך אינם נופלים לחלופה הקוגנטיבית </w:t>
      </w:r>
      <w:r>
        <w:rPr>
          <w:rFonts w:cs="Arial" w:ascii="Arial" w:hAnsi="Arial"/>
          <w:b/>
          <w:bCs/>
          <w:spacing w:val="22"/>
          <w:rtl w:val="true"/>
        </w:rPr>
        <w:t>(</w:t>
      </w:r>
      <w:r>
        <w:rPr>
          <w:rFonts w:ascii="Arial" w:hAnsi="Arial" w:cs="Arial"/>
          <w:b/>
          <w:b/>
          <w:bCs/>
          <w:spacing w:val="22"/>
          <w:rtl w:val="true"/>
        </w:rPr>
        <w:t>הנאשם לא הבין</w:t>
      </w:r>
      <w:r>
        <w:rPr>
          <w:rFonts w:cs="Arial" w:ascii="Arial" w:hAnsi="Arial"/>
          <w:b/>
          <w:bCs/>
          <w:spacing w:val="22"/>
          <w:rtl w:val="true"/>
        </w:rPr>
        <w:t xml:space="preserve">) 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או החלופה הרצונית </w:t>
      </w:r>
      <w:r>
        <w:rPr>
          <w:rFonts w:cs="Arial" w:ascii="Arial" w:hAnsi="Arial"/>
          <w:b/>
          <w:bCs/>
          <w:spacing w:val="22"/>
          <w:rtl w:val="true"/>
        </w:rPr>
        <w:t>(</w:t>
      </w:r>
      <w:r>
        <w:rPr>
          <w:rFonts w:ascii="Arial" w:hAnsi="Arial" w:cs="Arial"/>
          <w:b/>
          <w:b/>
          <w:bCs/>
          <w:spacing w:val="22"/>
          <w:rtl w:val="true"/>
        </w:rPr>
        <w:t>הנאשם לא יכול היה להימנע</w:t>
      </w:r>
      <w:r>
        <w:rPr>
          <w:rFonts w:cs="Arial" w:ascii="Arial" w:hAnsi="Arial"/>
          <w:b/>
          <w:bCs/>
          <w:spacing w:val="22"/>
          <w:rtl w:val="true"/>
        </w:rPr>
        <w:t xml:space="preserve">). </w:t>
      </w:r>
      <w:r>
        <w:rPr>
          <w:rFonts w:ascii="Arial" w:hAnsi="Arial" w:cs="Arial"/>
          <w:b/>
          <w:b/>
          <w:bCs/>
          <w:spacing w:val="22"/>
          <w:rtl w:val="true"/>
        </w:rPr>
        <w:t>יודגש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כי דווקא לאור השכיחות של תסמונת פוסט טרואמתית באוכלוסיה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לא בנקל יקבל בית המשפט טענה כי פלוני ביצע רצח ספונטני מאחר שבאותו מועד חווה את האירוע הטראומטי והיה שרוי במציאות מדומה שפגעה בשיפוטו ובבוחן המציאות שלו</w:t>
      </w:r>
      <w:r>
        <w:rPr>
          <w:rFonts w:cs="Arial" w:ascii="Arial" w:hAnsi="Arial"/>
          <w:b/>
          <w:bCs/>
          <w:spacing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הפסיקה  טרם הכירה במצב של </w:t>
      </w:r>
      <w:r>
        <w:rPr>
          <w:rFonts w:cs="Arial" w:ascii="Arial" w:hAnsi="Arial"/>
          <w:b/>
          <w:bCs/>
          <w:spacing w:val="22"/>
          <w:rtl w:val="true"/>
        </w:rPr>
        <w:t>"</w:t>
      </w:r>
      <w:r>
        <w:rPr>
          <w:rFonts w:ascii="Arial" w:hAnsi="Arial" w:cs="Arial"/>
          <w:b/>
          <w:b/>
          <w:bCs/>
          <w:spacing w:val="22"/>
          <w:rtl w:val="true"/>
        </w:rPr>
        <w:t>מיקרו</w:t>
      </w:r>
      <w:r>
        <w:rPr>
          <w:rFonts w:cs="Arial" w:ascii="Arial" w:hAnsi="Arial"/>
          <w:b/>
          <w:bCs/>
          <w:spacing w:val="22"/>
          <w:rtl w:val="true"/>
        </w:rPr>
        <w:t>-</w:t>
      </w:r>
      <w:r>
        <w:rPr>
          <w:rFonts w:ascii="Arial" w:hAnsi="Arial" w:cs="Arial"/>
          <w:b/>
          <w:b/>
          <w:bCs/>
          <w:spacing w:val="22"/>
          <w:rtl w:val="true"/>
        </w:rPr>
        <w:t>פסיכוזה</w:t>
      </w:r>
      <w:r>
        <w:rPr>
          <w:rFonts w:cs="Arial" w:ascii="Arial" w:hAnsi="Arial"/>
          <w:b/>
          <w:bCs/>
          <w:spacing w:val="22"/>
          <w:rtl w:val="true"/>
        </w:rPr>
        <w:t xml:space="preserve">" </w:t>
      </w:r>
      <w:r>
        <w:rPr>
          <w:rFonts w:ascii="Arial" w:hAnsi="Arial" w:cs="Arial"/>
          <w:b/>
          <w:b/>
          <w:bCs/>
          <w:spacing w:val="22"/>
          <w:rtl w:val="true"/>
        </w:rPr>
        <w:t>או של אפיזודה פסיכוטית של מספר דקות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וטענה מעין זו צריכה להיבחן במשנה זהירות</w:t>
      </w:r>
      <w:r>
        <w:rPr>
          <w:rFonts w:cs="Arial" w:ascii="Arial" w:hAnsi="Arial"/>
          <w:b/>
          <w:bCs/>
          <w:spacing w:val="22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22"/>
        </w:rPr>
      </w:pPr>
      <w:r>
        <w:rPr>
          <w:rFonts w:cs="Arial" w:ascii="Arial" w:hAnsi="Arial"/>
          <w:b/>
          <w:bCs/>
          <w:spacing w:val="22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b/>
          <w:bCs/>
          <w:spacing w:val="22"/>
        </w:rPr>
        <w:t>13</w:t>
      </w:r>
      <w:r>
        <w:rPr>
          <w:rFonts w:cs="Arial" w:ascii="Arial" w:hAnsi="Arial"/>
          <w:b/>
          <w:bCs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>בענייננו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ניתן להשתמש בלשון שננקטה ב</w:t>
      </w:r>
      <w:hyperlink r:id="rId67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3039/15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הנ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ל ולפיה עוצמת התסמינים שהיו אצל הנאשם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ככל שהיו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רחוקים מלהכניסו אפילו 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לשדה המגנטי</w:t>
      </w:r>
      <w:r>
        <w:rPr>
          <w:rFonts w:cs="Arial" w:ascii="Arial" w:hAnsi="Arial"/>
          <w:spacing w:val="22"/>
          <w:rtl w:val="true"/>
        </w:rPr>
        <w:t xml:space="preserve">" </w:t>
      </w:r>
      <w:r>
        <w:rPr>
          <w:rFonts w:ascii="Arial" w:hAnsi="Arial" w:cs="Arial"/>
          <w:spacing w:val="22"/>
          <w:rtl w:val="true"/>
        </w:rPr>
        <w:t xml:space="preserve">של </w:t>
      </w:r>
      <w:hyperlink r:id="rId68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300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'.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בחוות הדעת של פרופ</w:t>
      </w:r>
      <w:r>
        <w:rPr>
          <w:rFonts w:cs="Arial" w:ascii="Arial" w:hAnsi="Arial"/>
          <w:spacing w:val="22"/>
          <w:rtl w:val="true"/>
        </w:rPr>
        <w:t xml:space="preserve">' </w:t>
      </w:r>
      <w:r>
        <w:rPr>
          <w:rFonts w:ascii="Arial" w:hAnsi="Arial" w:cs="Arial"/>
          <w:spacing w:val="22"/>
          <w:rtl w:val="true"/>
        </w:rPr>
        <w:t>לוי אין תימוכין לכך ואין קשר מובנה וברור בין תסמינים</w:t>
      </w:r>
      <w:r>
        <w:rPr>
          <w:rFonts w:cs="Arial" w:ascii="Arial" w:hAnsi="Arial"/>
          <w:spacing w:val="22"/>
          <w:rtl w:val="true"/>
        </w:rPr>
        <w:tab/>
      </w:r>
      <w:r>
        <w:rPr>
          <w:rFonts w:ascii="Arial" w:hAnsi="Arial" w:cs="Arial"/>
          <w:spacing w:val="22"/>
          <w:rtl w:val="true"/>
        </w:rPr>
        <w:t>המאפיינים תסמונת פוסט טראומתית לבין מעשי הנאשם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הנאשם היה חדור בצורך לנקום את דם אביו וזו הייתה 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הכרזתו</w:t>
      </w:r>
      <w:r>
        <w:rPr>
          <w:rFonts w:cs="Arial" w:ascii="Arial" w:hAnsi="Arial"/>
          <w:spacing w:val="22"/>
          <w:rtl w:val="true"/>
        </w:rPr>
        <w:t xml:space="preserve">" </w:t>
      </w:r>
      <w:r>
        <w:rPr>
          <w:rFonts w:ascii="Arial" w:hAnsi="Arial" w:cs="Arial"/>
          <w:spacing w:val="22"/>
          <w:rtl w:val="true"/>
        </w:rPr>
        <w:t>המיידית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הספונטנית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לאחר האירוע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הכרזה לה היו מספר עדים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כמפורט בהכרעת הדין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הנאשם תכנן מעשיו</w:t>
      </w:r>
      <w:r>
        <w:rPr>
          <w:rFonts w:cs="Arial" w:ascii="Arial" w:hAnsi="Arial"/>
          <w:spacing w:val="22"/>
          <w:rtl w:val="true"/>
        </w:rPr>
        <w:t xml:space="preserve">: </w:t>
      </w:r>
      <w:r>
        <w:rPr>
          <w:rFonts w:ascii="Arial" w:hAnsi="Arial" w:cs="Arial"/>
          <w:spacing w:val="22"/>
          <w:rtl w:val="true"/>
        </w:rPr>
        <w:t>נטל כלי הנשק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נסע לסביבת בית המנוח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פתח באש לעברו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המנוח ניסה להימלט והנאשם דלק אחריו ומשאזלו הקליעים מתת המקלע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עשה שימוש באקדחו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ולא פחות מ </w:t>
      </w:r>
      <w:r>
        <w:rPr>
          <w:rFonts w:ascii="Arial" w:hAnsi="Arial" w:cs="Arial"/>
          <w:spacing w:val="22"/>
          <w:rtl w:val="true"/>
        </w:rPr>
        <w:t>–</w:t>
      </w:r>
      <w:r>
        <w:rPr>
          <w:rFonts w:ascii="Arial" w:hAnsi="Arial" w:cs="Arial"/>
          <w:spacing w:val="22"/>
          <w:rtl w:val="true"/>
        </w:rPr>
        <w:t xml:space="preserve"> </w:t>
      </w:r>
      <w:r>
        <w:rPr>
          <w:rFonts w:cs="Arial" w:ascii="Arial" w:hAnsi="Arial"/>
          <w:spacing w:val="22"/>
        </w:rPr>
        <w:t>15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קליעים חדרו לגוף המנוח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המעשה לא היה ספונטני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שכן הנאשם לקח עמו כלי נשק במכונית אחיו ואין מדובר בכלי נשק שהיו במכוניתו באופן קבוע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בנוסף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לא היה אירוע יוצא דופן מטעם המנוח </w:t>
      </w:r>
      <w:r>
        <w:rPr>
          <w:rFonts w:cs="Arial" w:ascii="Arial" w:hAnsi="Arial"/>
          <w:spacing w:val="22"/>
          <w:rtl w:val="true"/>
        </w:rPr>
        <w:t>(</w:t>
      </w:r>
      <w:r>
        <w:rPr>
          <w:rFonts w:ascii="Arial" w:hAnsi="Arial" w:cs="Arial"/>
          <w:spacing w:val="22"/>
          <w:rtl w:val="true"/>
        </w:rPr>
        <w:t>או משפחתו</w:t>
      </w:r>
      <w:r>
        <w:rPr>
          <w:rFonts w:cs="Arial" w:ascii="Arial" w:hAnsi="Arial"/>
          <w:spacing w:val="22"/>
          <w:rtl w:val="true"/>
        </w:rPr>
        <w:t xml:space="preserve">) </w:t>
      </w:r>
      <w:r>
        <w:rPr>
          <w:rFonts w:ascii="Arial" w:hAnsi="Arial" w:cs="Arial"/>
          <w:spacing w:val="22"/>
          <w:rtl w:val="true"/>
        </w:rPr>
        <w:t>עובר לאירוע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שהיה בו לשמש כ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טריגר</w:t>
      </w:r>
      <w:r>
        <w:rPr>
          <w:rFonts w:cs="Arial" w:ascii="Arial" w:hAnsi="Arial"/>
          <w:spacing w:val="22"/>
          <w:rtl w:val="true"/>
        </w:rPr>
        <w:t xml:space="preserve">" </w:t>
      </w:r>
      <w:r>
        <w:rPr>
          <w:rFonts w:ascii="Arial" w:hAnsi="Arial" w:cs="Arial"/>
          <w:spacing w:val="22"/>
          <w:rtl w:val="true"/>
        </w:rPr>
        <w:t>שהחזיר את הנאשם לאירוע מות אביו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מות האב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מוות מיותר וללא סיבה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והסבל שנגרם לנאשם ולמשפחתו בעקבות כך היו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כמו גם ב</w:t>
      </w:r>
      <w:hyperlink r:id="rId69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3039/15</w:t>
        </w:r>
      </w:hyperlink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המניע למעשה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  <w:tab/>
      </w:r>
      <w:r>
        <w:rPr>
          <w:rFonts w:ascii="Arial" w:hAnsi="Arial" w:cs="Arial"/>
          <w:spacing w:val="22"/>
          <w:rtl w:val="true"/>
        </w:rPr>
        <w:t>מכאן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לא ניתן לומר כי התקיים יסוד מיסודות סעיף </w:t>
      </w:r>
      <w:hyperlink r:id="rId70"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300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'</w:t>
        </w:r>
      </w:hyperlink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לא מדובר בהפרעה נפשית חמורה או ליקוי בכושר שכלי שהגבילו יכולתו של הנאשם במידה ניכרת </w:t>
      </w:r>
      <w:r>
        <w:rPr>
          <w:rFonts w:cs="Arial" w:ascii="Arial" w:hAnsi="Arial"/>
          <w:spacing w:val="22"/>
          <w:rtl w:val="true"/>
        </w:rPr>
        <w:t>(</w:t>
      </w:r>
      <w:r>
        <w:rPr>
          <w:rFonts w:ascii="Arial" w:hAnsi="Arial" w:cs="Arial"/>
          <w:spacing w:val="22"/>
          <w:rtl w:val="true"/>
        </w:rPr>
        <w:t>אך לא עד כדי חוסר יכולת של ממש</w:t>
      </w:r>
      <w:r>
        <w:rPr>
          <w:rFonts w:cs="Arial" w:ascii="Arial" w:hAnsi="Arial"/>
          <w:spacing w:val="22"/>
          <w:rtl w:val="true"/>
        </w:rPr>
        <w:t xml:space="preserve">), </w:t>
      </w:r>
      <w:r>
        <w:rPr>
          <w:rFonts w:ascii="Arial" w:hAnsi="Arial" w:cs="Arial"/>
          <w:spacing w:val="22"/>
          <w:rtl w:val="true"/>
        </w:rPr>
        <w:t>להבין את מעשהו או הפסול בו או להימנע מלעשותו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המעשה לא חרג במידה מועטה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בנסיבותיו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מתחום הסבירות הנדרשת פי </w:t>
      </w:r>
      <w:hyperlink r:id="rId71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34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ט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'</w:t>
        </w:r>
      </w:hyperlink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לשם תחולת הסייג של הגנה עצמית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צורך או כורח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הנאשם ירה אל עבר המנוח בטרם יצא המנוח מרכבו והמשיך לעשות כן לאחר הימלטות המנוח מרכבו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באשר לס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ק</w:t>
      </w:r>
      <w:r>
        <w:rPr>
          <w:rFonts w:cs="Arial" w:ascii="Arial" w:hAnsi="Arial"/>
          <w:spacing w:val="22"/>
          <w:rtl w:val="true"/>
        </w:rPr>
        <w:t>(</w:t>
      </w:r>
      <w:r>
        <w:rPr>
          <w:rFonts w:ascii="Arial" w:hAnsi="Arial" w:cs="Arial"/>
          <w:spacing w:val="22"/>
          <w:rtl w:val="true"/>
        </w:rPr>
        <w:t>ג</w:t>
      </w:r>
      <w:r>
        <w:rPr>
          <w:rFonts w:cs="Arial" w:ascii="Arial" w:hAnsi="Arial"/>
          <w:spacing w:val="22"/>
          <w:rtl w:val="true"/>
        </w:rPr>
        <w:t xml:space="preserve">) </w:t>
      </w:r>
      <w:r>
        <w:rPr>
          <w:rFonts w:cs="Arial" w:ascii="Arial" w:hAnsi="Arial"/>
          <w:spacing w:val="22"/>
          <w:rtl w:val="true"/>
        </w:rPr>
        <w:t>–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הנאשם אכן סבל וכאב מאוד את מות אביו והתפרקות משפחתו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ואולי אפילו היה במצוקה נפשית בשל כך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אולם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מצוקתו הנפשית לא הייתה מצוקה קשה עקב התעללות חמורה ומתמשכת בו או בבני משפחתו מצד המנוח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גם אם טענת הנאשם בנוגע להצקות ולעלבונות מצד המנוח </w:t>
      </w:r>
      <w:r>
        <w:rPr>
          <w:rFonts w:cs="Arial" w:ascii="Arial" w:hAnsi="Arial"/>
          <w:spacing w:val="22"/>
          <w:rtl w:val="true"/>
        </w:rPr>
        <w:t>(</w:t>
      </w:r>
      <w:r>
        <w:rPr>
          <w:rFonts w:ascii="Arial" w:hAnsi="Arial" w:cs="Arial"/>
          <w:spacing w:val="22"/>
          <w:rtl w:val="true"/>
        </w:rPr>
        <w:t>כלפי אחות הנאשם למשל</w:t>
      </w:r>
      <w:r>
        <w:rPr>
          <w:rFonts w:cs="Arial" w:ascii="Arial" w:hAnsi="Arial"/>
          <w:spacing w:val="22"/>
          <w:rtl w:val="true"/>
        </w:rPr>
        <w:t xml:space="preserve">) </w:t>
      </w:r>
      <w:r>
        <w:rPr>
          <w:rFonts w:ascii="Arial" w:hAnsi="Arial" w:cs="Arial"/>
          <w:spacing w:val="22"/>
          <w:rtl w:val="true"/>
        </w:rPr>
        <w:t xml:space="preserve">הן נכונות </w:t>
      </w:r>
      <w:r>
        <w:rPr>
          <w:rFonts w:ascii="Arial" w:hAnsi="Arial" w:cs="Arial"/>
          <w:spacing w:val="22"/>
          <w:rtl w:val="true"/>
        </w:rPr>
        <w:t>–</w:t>
      </w:r>
      <w:r>
        <w:rPr>
          <w:rFonts w:ascii="Arial" w:hAnsi="Arial" w:cs="Arial"/>
          <w:spacing w:val="22"/>
          <w:rtl w:val="true"/>
        </w:rPr>
        <w:t xml:space="preserve"> אלו אינן מגיעות כדי התעללות חמורה ומתמשכת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22"/>
        </w:rPr>
      </w:pPr>
      <w:r>
        <w:rPr>
          <w:rFonts w:cs="Arial" w:ascii="Arial" w:hAnsi="Arial"/>
          <w:spacing w:val="22"/>
        </w:rPr>
        <w:t>14</w:t>
      </w:r>
      <w:r>
        <w:rPr>
          <w:rFonts w:cs="Arial" w:ascii="Arial" w:hAnsi="Arial"/>
          <w:spacing w:val="22"/>
          <w:rtl w:val="true"/>
        </w:rPr>
        <w:t>.</w:t>
      </w:r>
      <w:r>
        <w:rPr>
          <w:rFonts w:cs="Arial" w:ascii="Arial" w:hAnsi="Arial"/>
          <w:spacing w:val="22"/>
          <w:rtl w:val="true"/>
        </w:rPr>
        <w:tab/>
      </w:r>
      <w:r>
        <w:rPr>
          <w:rFonts w:ascii="Arial" w:hAnsi="Arial" w:cs="Arial"/>
          <w:spacing w:val="22"/>
          <w:rtl w:val="true"/>
        </w:rPr>
        <w:t>אמנם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וכפי שציין הסנגור ב</w:t>
      </w:r>
      <w:hyperlink r:id="rId72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3039/15</w:t>
        </w:r>
      </w:hyperlink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הובעה הדעה כי ניתן להרחיב את 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 xml:space="preserve">הקו הדק שבין </w:t>
      </w:r>
      <w:r>
        <w:rPr>
          <w:rFonts w:ascii="Arial" w:hAnsi="Arial" w:cs="Arial"/>
          <w:spacing w:val="22"/>
          <w:rtl w:val="true"/>
        </w:rPr>
        <w:t xml:space="preserve">סעיף </w:t>
      </w:r>
      <w:r>
        <w:rPr>
          <w:rFonts w:cs="Arial" w:ascii="Arial" w:hAnsi="Arial"/>
          <w:spacing w:val="22"/>
        </w:rPr>
        <w:t>34</w:t>
      </w:r>
      <w:r>
        <w:rPr>
          <w:rFonts w:ascii="Arial" w:hAnsi="Arial" w:cs="Arial"/>
          <w:spacing w:val="22"/>
          <w:rtl w:val="true"/>
        </w:rPr>
        <w:t>א</w:t>
      </w:r>
      <w:r>
        <w:rPr>
          <w:rFonts w:ascii="Arial" w:hAnsi="Arial" w:cs="Arial"/>
          <w:spacing w:val="22"/>
          <w:rtl w:val="true"/>
        </w:rPr>
        <w:t xml:space="preserve"> לבין סעיף </w:t>
      </w:r>
      <w:r>
        <w:rPr>
          <w:rFonts w:cs="Arial" w:ascii="Arial" w:hAnsi="Arial"/>
          <w:spacing w:val="22"/>
        </w:rPr>
        <w:t>300</w:t>
      </w:r>
      <w:r>
        <w:rPr>
          <w:rFonts w:ascii="Arial" w:hAnsi="Arial" w:cs="Arial"/>
          <w:spacing w:val="22"/>
          <w:rtl w:val="true"/>
        </w:rPr>
        <w:t>א</w:t>
      </w:r>
      <w:r>
        <w:rPr>
          <w:rFonts w:cs="Arial" w:ascii="Arial" w:hAnsi="Arial"/>
          <w:spacing w:val="22"/>
          <w:rtl w:val="true"/>
        </w:rPr>
        <w:t xml:space="preserve">", </w:t>
      </w:r>
      <w:r>
        <w:rPr>
          <w:rFonts w:ascii="Arial" w:hAnsi="Arial" w:cs="Arial"/>
          <w:spacing w:val="22"/>
          <w:rtl w:val="true"/>
        </w:rPr>
        <w:t>ולהביא להורדה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במידת מה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את הרף הנדרש לצורך תחות סעיף </w:t>
      </w:r>
      <w:hyperlink r:id="rId73"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300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'</w:t>
        </w:r>
      </w:hyperlink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מבלי שיש מקום למהפכה בפסיקה הנוגעת לסעיף </w:t>
      </w:r>
      <w:hyperlink r:id="rId74">
        <w:r>
          <w:rPr>
            <w:rStyle w:val="Hyperlink"/>
            <w:rFonts w:cs="Arial" w:ascii="Arial" w:hAnsi="Arial"/>
            <w:color w:val="0000FF"/>
            <w:spacing w:val="22"/>
          </w:rPr>
          <w:t>300</w:t>
        </w:r>
        <w:r>
          <w:rPr>
            <w:rStyle w:val="Hyperlink"/>
            <w:rFonts w:cs="Arial" w:ascii="Arial" w:hAnsi="Arial"/>
            <w:color w:val="0000FF"/>
            <w:spacing w:val="22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spacing w:val="22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pacing w:val="22"/>
            <w:rtl w:val="true"/>
          </w:rPr>
          <w:t>'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ואף לא למבחנים השונים בהיבט הפסיכיאטרי והמשפטי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וגם אם יורחב המרווח בין </w:t>
      </w:r>
      <w:hyperlink r:id="rId75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34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ח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'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לבין סעיף </w:t>
      </w:r>
      <w:hyperlink r:id="rId76"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300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'</w:t>
        </w:r>
      </w:hyperlink>
      <w:r>
        <w:rPr>
          <w:rFonts w:cs="Arial" w:ascii="Arial" w:hAnsi="Arial"/>
          <w:spacing w:val="22"/>
          <w:rtl w:val="true"/>
        </w:rPr>
        <w:t xml:space="preserve"> (</w:t>
      </w:r>
      <w:r>
        <w:rPr>
          <w:rFonts w:ascii="Arial" w:hAnsi="Arial" w:cs="Arial"/>
          <w:spacing w:val="22"/>
          <w:rtl w:val="true"/>
        </w:rPr>
        <w:t>מקו דק לקו עבה</w:t>
      </w:r>
      <w:r>
        <w:rPr>
          <w:rFonts w:cs="Arial" w:ascii="Arial" w:hAnsi="Arial"/>
          <w:spacing w:val="22"/>
          <w:rtl w:val="true"/>
        </w:rPr>
        <w:t xml:space="preserve">), </w:t>
      </w:r>
      <w:r>
        <w:rPr>
          <w:rFonts w:ascii="Arial" w:hAnsi="Arial" w:cs="Arial"/>
          <w:spacing w:val="22"/>
          <w:rtl w:val="true"/>
        </w:rPr>
        <w:t xml:space="preserve">השוני הוא כמותי אך לא איכותי </w:t>
      </w:r>
      <w:r>
        <w:rPr>
          <w:rFonts w:cs="Arial" w:ascii="Arial" w:hAnsi="Arial"/>
          <w:spacing w:val="22"/>
          <w:rtl w:val="true"/>
        </w:rPr>
        <w:t>(</w:t>
      </w:r>
      <w:r>
        <w:rPr>
          <w:rFonts w:ascii="Arial" w:hAnsi="Arial" w:cs="Arial"/>
          <w:spacing w:val="22"/>
          <w:rtl w:val="true"/>
        </w:rPr>
        <w:t xml:space="preserve">סעיף </w:t>
      </w:r>
      <w:r>
        <w:rPr>
          <w:rFonts w:cs="Arial" w:ascii="Arial" w:hAnsi="Arial"/>
          <w:spacing w:val="22"/>
        </w:rPr>
        <w:t>6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</w:t>
      </w:r>
      <w:hyperlink r:id="rId77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3039/15</w:t>
        </w:r>
      </w:hyperlink>
      <w:r>
        <w:rPr>
          <w:rFonts w:cs="Arial" w:ascii="Arial" w:hAnsi="Arial"/>
          <w:spacing w:val="22"/>
          <w:rtl w:val="true"/>
        </w:rPr>
        <w:t xml:space="preserve">), </w:t>
      </w:r>
      <w:r>
        <w:rPr>
          <w:rFonts w:ascii="Arial" w:hAnsi="Arial" w:cs="Arial"/>
          <w:spacing w:val="22"/>
          <w:rtl w:val="true"/>
        </w:rPr>
        <w:t>אך גם בכך אין לסייע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במקרה זה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לנאשם וכפי שצוין לקראת סוף ההחלטה בערעור הנ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ל</w:t>
      </w:r>
      <w:r>
        <w:rPr>
          <w:rFonts w:cs="Arial" w:ascii="Arial" w:hAnsi="Arial"/>
          <w:spacing w:val="22"/>
          <w:rtl w:val="true"/>
        </w:rPr>
        <w:t>: "</w:t>
      </w:r>
      <w:r>
        <w:rPr>
          <w:rFonts w:ascii="Arial" w:hAnsi="Arial" w:cs="Arial"/>
          <w:b/>
          <w:b/>
          <w:bCs/>
          <w:spacing w:val="22"/>
          <w:rtl w:val="true"/>
        </w:rPr>
        <w:t>עמדתי על כך שבהיבט התיאורטי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אין מניעה עקרונית כי תסמינים מסוימים האופיינים לנפגעי פוסט</w:t>
      </w:r>
      <w:r>
        <w:rPr>
          <w:rFonts w:cs="Arial" w:ascii="Arial" w:hAnsi="Arial"/>
          <w:b/>
          <w:bCs/>
          <w:spacing w:val="22"/>
          <w:rtl w:val="true"/>
        </w:rPr>
        <w:t>-</w:t>
      </w:r>
      <w:r>
        <w:rPr>
          <w:rFonts w:ascii="Arial" w:hAnsi="Arial" w:cs="Arial"/>
          <w:b/>
          <w:b/>
          <w:bCs/>
          <w:spacing w:val="22"/>
          <w:rtl w:val="true"/>
        </w:rPr>
        <w:t>טראומה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 xml:space="preserve">יכניסו אדם למצב שיאפשר לו ליהנות מענישה מופחתת לפי סעיף </w:t>
      </w:r>
      <w:r>
        <w:rPr>
          <w:rFonts w:cs="Arial" w:ascii="Arial" w:hAnsi="Arial"/>
          <w:b/>
          <w:bCs/>
          <w:spacing w:val="22"/>
        </w:rPr>
        <w:t>300</w:t>
      </w:r>
      <w:r>
        <w:rPr>
          <w:rFonts w:ascii="Arial" w:hAnsi="Arial" w:cs="Arial"/>
          <w:b/>
          <w:b/>
          <w:bCs/>
          <w:spacing w:val="22"/>
          <w:rtl w:val="true"/>
        </w:rPr>
        <w:t>א</w:t>
      </w:r>
      <w:r>
        <w:rPr>
          <w:rFonts w:cs="Arial" w:ascii="Arial" w:hAnsi="Arial"/>
          <w:b/>
          <w:bCs/>
          <w:spacing w:val="22"/>
          <w:rtl w:val="true"/>
        </w:rPr>
        <w:t xml:space="preserve">'. </w:t>
      </w:r>
      <w:r>
        <w:rPr>
          <w:rFonts w:ascii="Arial" w:hAnsi="Arial" w:cs="Arial"/>
          <w:b/>
          <w:b/>
          <w:bCs/>
          <w:spacing w:val="22"/>
          <w:rtl w:val="true"/>
        </w:rPr>
        <w:t>אולם לא כל התסמינים של פוסט טראומה רלוונטיים לכך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אלא בעיקר מצב של מציאות מדומה שבמהלכו הנאשם חוזר לאירוע הטראומתי וחש בסכנה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תוך איבוד בוחן המציאות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קרי</w:t>
      </w:r>
      <w:r>
        <w:rPr>
          <w:rFonts w:cs="Arial" w:ascii="Arial" w:hAnsi="Arial"/>
          <w:b/>
          <w:bCs/>
          <w:spacing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22"/>
          <w:rtl w:val="true"/>
        </w:rPr>
        <w:t>כניסה למצב פסיכוטי או קרבה כזו או אחרת למצב פסיכוטי</w:t>
      </w:r>
      <w:r>
        <w:rPr>
          <w:rFonts w:cs="Arial" w:ascii="Arial" w:hAnsi="Arial"/>
          <w:b/>
          <w:bCs/>
          <w:spacing w:val="22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22"/>
        </w:rPr>
      </w:pPr>
      <w:r>
        <w:rPr>
          <w:rFonts w:cs="Arial" w:ascii="Arial" w:hAnsi="Arial"/>
          <w:b/>
          <w:bCs/>
          <w:spacing w:val="22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  <w:tab/>
      </w:r>
      <w:r>
        <w:rPr>
          <w:rFonts w:ascii="Arial" w:hAnsi="Arial" w:cs="Arial"/>
          <w:spacing w:val="22"/>
          <w:rtl w:val="true"/>
        </w:rPr>
        <w:t>מכאן גם עולה כי אין לקבל את טענת הסנגור לפיה בשל הליקויים הנפשיים של הנאשם אשר נגרמו מהדיכאון הפסיכוטי שלו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ניתן לקבוע בסבירות גבוהה כי מצבו בעת המעשה היה דומה למצבו בעת הבדיקה ע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י פרופ</w:t>
      </w:r>
      <w:r>
        <w:rPr>
          <w:rFonts w:cs="Arial" w:ascii="Arial" w:hAnsi="Arial"/>
          <w:spacing w:val="22"/>
          <w:rtl w:val="true"/>
        </w:rPr>
        <w:t xml:space="preserve">' </w:t>
      </w:r>
      <w:r>
        <w:rPr>
          <w:rFonts w:ascii="Arial" w:hAnsi="Arial" w:cs="Arial"/>
          <w:spacing w:val="22"/>
          <w:rtl w:val="true"/>
        </w:rPr>
        <w:t>לוי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</w:rPr>
        <w:t>15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באשר לטענה בדבר החפיפה בין עבירות הנשק לבין עבירת הרצח </w:t>
      </w:r>
      <w:r>
        <w:rPr>
          <w:rFonts w:ascii="Arial" w:hAnsi="Arial" w:cs="Arial"/>
          <w:spacing w:val="22"/>
          <w:rtl w:val="true"/>
        </w:rPr>
        <w:t>–</w:t>
      </w:r>
      <w:r>
        <w:rPr>
          <w:rFonts w:ascii="Arial" w:hAnsi="Arial" w:cs="Arial"/>
          <w:spacing w:val="22"/>
          <w:rtl w:val="true"/>
        </w:rPr>
        <w:t xml:space="preserve"> הצדק עם הסנגור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מדובר באותו אירוע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הנשיאה ושימוש בכלי הנשק היוו חלק מעבירת הרצח וכלים לביצועה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ואין מקום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בנסיבות ענייננו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להוסיף ענישה המצטברת בגין עבירות הנשק המהוות חלק בלתי נפרד מעבירת הרצח</w:t>
      </w:r>
      <w:r>
        <w:rPr>
          <w:rFonts w:cs="Arial" w:ascii="Arial" w:hAnsi="Arial"/>
          <w:spacing w:val="22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b/>
          <w:bCs/>
          <w:spacing w:val="22"/>
          <w:sz w:val="20"/>
        </w:rPr>
        <w:t>16</w:t>
      </w:r>
      <w:r>
        <w:rPr>
          <w:rFonts w:cs="Arial" w:ascii="Arial" w:hAnsi="Arial"/>
          <w:b/>
          <w:bCs/>
          <w:spacing w:val="22"/>
          <w:sz w:val="20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התוצאה היא שאנו גוזרים על הנאשם מאסר עולם ועונש זה בלבד לפי </w:t>
      </w:r>
      <w:hyperlink r:id="rId78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300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)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</w:t>
      </w:r>
      <w:hyperlink r:id="rId79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חוק העונשין</w:t>
        </w:r>
      </w:hyperlink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תשל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 xml:space="preserve">ז </w:t>
      </w:r>
      <w:r>
        <w:rPr>
          <w:rFonts w:ascii="Arial" w:hAnsi="Arial" w:cs="Arial"/>
          <w:spacing w:val="22"/>
          <w:rtl w:val="true"/>
        </w:rPr>
        <w:t>–</w:t>
      </w:r>
      <w:r>
        <w:rPr>
          <w:rFonts w:ascii="Arial" w:hAnsi="Arial" w:cs="Arial"/>
          <w:spacing w:val="22"/>
          <w:rtl w:val="true"/>
        </w:rPr>
        <w:t xml:space="preserve"> </w:t>
      </w:r>
      <w:r>
        <w:rPr>
          <w:rFonts w:cs="Arial" w:ascii="Arial" w:hAnsi="Arial"/>
          <w:spacing w:val="22"/>
        </w:rPr>
        <w:t>1977</w:t>
      </w:r>
      <w:r>
        <w:rPr>
          <w:rFonts w:cs="Arial" w:ascii="Arial" w:hAnsi="Arial"/>
          <w:spacing w:val="22"/>
          <w:rtl w:val="true"/>
        </w:rPr>
        <w:t xml:space="preserve"> (</w:t>
      </w:r>
      <w:r>
        <w:rPr>
          <w:rFonts w:ascii="Arial" w:hAnsi="Arial" w:cs="Arial"/>
          <w:spacing w:val="22"/>
          <w:rtl w:val="true"/>
        </w:rPr>
        <w:t>כנוסחו לפני התיקון  לחוק</w:t>
      </w:r>
      <w:r>
        <w:rPr>
          <w:rFonts w:cs="Arial" w:ascii="Arial" w:hAnsi="Arial"/>
          <w:spacing w:val="22"/>
          <w:rtl w:val="true"/>
        </w:rPr>
        <w:t xml:space="preserve">), </w:t>
      </w:r>
      <w:r>
        <w:rPr>
          <w:rFonts w:ascii="Arial" w:hAnsi="Arial" w:cs="Arial"/>
          <w:spacing w:val="22"/>
          <w:rtl w:val="true"/>
        </w:rPr>
        <w:t>מיום מעצרו</w:t>
      </w:r>
      <w:r>
        <w:rPr>
          <w:rFonts w:cs="Arial" w:ascii="Arial" w:hAnsi="Arial"/>
          <w:spacing w:val="22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pacing w:val="22"/>
        </w:rPr>
      </w:pPr>
      <w:r>
        <w:rPr>
          <w:spacing w:val="22"/>
          <w:rtl w:val="true"/>
        </w:rPr>
        <w:tab/>
      </w:r>
      <w:r>
        <w:rPr>
          <w:rFonts w:ascii="Arial" w:hAnsi="Arial" w:cs="Arial"/>
          <w:spacing w:val="22"/>
          <w:rtl w:val="true"/>
        </w:rPr>
        <w:t xml:space="preserve">זכות ערעור לבית המשפט העליון בתוך </w:t>
      </w:r>
      <w:r>
        <w:rPr>
          <w:rFonts w:cs="Arial" w:ascii="Arial" w:hAnsi="Arial"/>
          <w:spacing w:val="22"/>
        </w:rPr>
        <w:t>45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יום מהיום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pacing w:val="22"/>
          <w:sz w:val="28"/>
          <w:szCs w:val="28"/>
        </w:rPr>
      </w:pPr>
      <w:bookmarkStart w:id="10" w:name="Nitan"/>
      <w:r>
        <w:rPr>
          <w:rFonts w:ascii="Arial" w:hAnsi="Arial" w:cs="Arial"/>
          <w:spacing w:val="22"/>
          <w:rtl w:val="true"/>
        </w:rPr>
        <w:t>ניתן היום</w:t>
      </w:r>
      <w:r>
        <w:rPr>
          <w:rFonts w:cs="Arial" w:ascii="Arial" w:hAnsi="Arial"/>
          <w:spacing w:val="22"/>
          <w:rtl w:val="true"/>
        </w:rPr>
        <w:t xml:space="preserve">,  </w:t>
      </w:r>
      <w:r>
        <w:rPr>
          <w:rFonts w:ascii="Arial" w:hAnsi="Arial" w:cs="Arial"/>
          <w:spacing w:val="22"/>
          <w:rtl w:val="true"/>
        </w:rPr>
        <w:t>כ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ד תשרי תש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פ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cs="Arial" w:ascii="Arial" w:hAnsi="Arial"/>
          <w:spacing w:val="22"/>
        </w:rPr>
        <w:t>23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אוקטובר </w:t>
      </w:r>
      <w:r>
        <w:rPr>
          <w:rFonts w:cs="Arial" w:ascii="Arial" w:hAnsi="Arial"/>
          <w:spacing w:val="22"/>
        </w:rPr>
        <w:t>2019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במעמד ב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כ המאשימה</w:t>
      </w:r>
      <w:r>
        <w:rPr>
          <w:rFonts w:cs="Arial" w:ascii="Arial" w:hAnsi="Arial"/>
          <w:spacing w:val="22"/>
          <w:rtl w:val="true"/>
        </w:rPr>
        <w:t xml:space="preserve">, </w:t>
      </w:r>
      <w:bookmarkEnd w:id="10"/>
      <w:r>
        <w:rPr>
          <w:rFonts w:ascii="Arial" w:hAnsi="Arial" w:cs="Arial"/>
          <w:spacing w:val="22"/>
          <w:rtl w:val="true"/>
        </w:rPr>
        <w:t>ב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כ הנאשם והנאשם עצמו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2"/>
          <w:sz w:val="28"/>
          <w:szCs w:val="28"/>
        </w:rPr>
      </w:pPr>
      <w:r>
        <w:rPr>
          <w:rFonts w:cs="FrankRuehl"/>
          <w:spacing w:val="22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2"/>
          <w:sz w:val="28"/>
          <w:szCs w:val="28"/>
        </w:rPr>
      </w:pPr>
      <w:r>
        <w:rPr>
          <w:rFonts w:cs="FrankRuehl"/>
          <w:spacing w:val="22"/>
          <w:sz w:val="28"/>
          <w:szCs w:val="28"/>
          <w:rtl w:val="true"/>
        </w:rPr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281"/>
        <w:gridCol w:w="239"/>
        <w:gridCol w:w="228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Normal"/>
              <w:spacing w:before="120" w:after="12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רפי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כרמל</w:t>
            </w:r>
            <w:r>
              <w:rPr>
                <w:b/>
                <w:bCs/>
                <w:sz w:val="28"/>
                <w:rtl w:val="true"/>
                <w:lang w:val="en-IL" w:eastAsia="en-IL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שופט</w:t>
            </w:r>
          </w:p>
          <w:p>
            <w:pPr>
              <w:pStyle w:val="Normal"/>
              <w:spacing w:before="120" w:after="12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אב</w:t>
            </w:r>
            <w:r>
              <w:rPr>
                <w:b/>
                <w:bCs/>
                <w:sz w:val="28"/>
                <w:rtl w:val="true"/>
                <w:lang w:val="en-IL" w:eastAsia="en-IL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ד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281" w:type="dxa"/>
            <w:tcBorders>
              <w:top w:val="single" w:sz="4" w:space="0" w:color="000000"/>
            </w:tcBorders>
          </w:tcPr>
          <w:p>
            <w:pPr>
              <w:pStyle w:val="Normal"/>
              <w:spacing w:before="120" w:after="12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כרמי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מוסק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281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1039" w:leader="none"/>
              </w:tabs>
              <w:spacing w:before="120" w:after="120"/>
              <w:ind w:end="0"/>
              <w:jc w:val="start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</w:rPr>
              <w:tab/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שירלי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רנר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  <w:p>
            <w:pPr>
              <w:pStyle w:val="Normal"/>
              <w:tabs>
                <w:tab w:val="clear" w:pos="720"/>
                <w:tab w:val="center" w:pos="1039" w:leader="none"/>
              </w:tabs>
              <w:spacing w:before="120" w:after="120"/>
              <w:ind w:end="0"/>
              <w:jc w:val="start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רפי כרמל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81"/>
      <w:footerReference w:type="default" r:id="rId82"/>
      <w:type w:val="nextPage"/>
      <w:pgSz w:w="11906" w:h="16838"/>
      <w:pgMar w:left="1701" w:right="1842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45473-08-16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אלמנתסר אללה קראעין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.a" TargetMode="External"/><Relationship Id="rId4" Type="http://schemas.openxmlformats.org/officeDocument/2006/relationships/hyperlink" Target="http://www.nevo.co.il/law/70301/34h" TargetMode="External"/><Relationship Id="rId5" Type="http://schemas.openxmlformats.org/officeDocument/2006/relationships/hyperlink" Target="http://www.nevo.co.il/law/70301/34i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00" TargetMode="External"/><Relationship Id="rId9" Type="http://schemas.openxmlformats.org/officeDocument/2006/relationships/hyperlink" Target="http://www.nevo.co.il/law/70301/300.a" TargetMode="External"/><Relationship Id="rId10" Type="http://schemas.openxmlformats.org/officeDocument/2006/relationships/hyperlink" Target="http://www.nevo.co.il/law/70301/300.a.2" TargetMode="External"/><Relationship Id="rId11" Type="http://schemas.openxmlformats.org/officeDocument/2006/relationships/hyperlink" Target="http://www.nevo.co.il/law/70301/300a" TargetMode="External"/><Relationship Id="rId12" Type="http://schemas.openxmlformats.org/officeDocument/2006/relationships/hyperlink" Target="http://www.nevo.co.il/law/70301/300a.a" TargetMode="External"/><Relationship Id="rId13" Type="http://schemas.openxmlformats.org/officeDocument/2006/relationships/hyperlink" Target="http://www.nevo.co.il/law/70301/300a.b" TargetMode="External"/><Relationship Id="rId14" Type="http://schemas.openxmlformats.org/officeDocument/2006/relationships/hyperlink" Target="http://www.nevo.co.il/law/70301/300a.c" TargetMode="External"/><Relationship Id="rId15" Type="http://schemas.openxmlformats.org/officeDocument/2006/relationships/hyperlink" Target="http://www.nevo.co.il/law/70301/301b.a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4903/186" TargetMode="External"/><Relationship Id="rId18" Type="http://schemas.openxmlformats.org/officeDocument/2006/relationships/hyperlink" Target="http://www.nevo.co.il/law/70301/300.a.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00a.c" TargetMode="External"/><Relationship Id="rId24" Type="http://schemas.openxmlformats.org/officeDocument/2006/relationships/hyperlink" Target="http://www.nevo.co.il/case/5926271" TargetMode="External"/><Relationship Id="rId25" Type="http://schemas.openxmlformats.org/officeDocument/2006/relationships/hyperlink" Target="http://www.nevo.co.il/case/5990314" TargetMode="External"/><Relationship Id="rId26" Type="http://schemas.openxmlformats.org/officeDocument/2006/relationships/hyperlink" Target="http://www.nevo.co.il/case/5969322" TargetMode="External"/><Relationship Id="rId27" Type="http://schemas.openxmlformats.org/officeDocument/2006/relationships/hyperlink" Target="http://www.nevo.co.il/case/20243557" TargetMode="External"/><Relationship Id="rId28" Type="http://schemas.openxmlformats.org/officeDocument/2006/relationships/hyperlink" Target="http://www.nevo.co.il/law/70301/300a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00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5172651" TargetMode="External"/><Relationship Id="rId33" Type="http://schemas.openxmlformats.org/officeDocument/2006/relationships/hyperlink" Target="http://www.nevo.co.il/law/70301/300a.a" TargetMode="External"/><Relationship Id="rId34" Type="http://schemas.openxmlformats.org/officeDocument/2006/relationships/hyperlink" Target="http://www.nevo.co.il/law/70301/300a.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00" TargetMode="External"/><Relationship Id="rId37" Type="http://schemas.openxmlformats.org/officeDocument/2006/relationships/hyperlink" Target="http://www.nevo.co.il/law/70301/300a" TargetMode="External"/><Relationship Id="rId38" Type="http://schemas.openxmlformats.org/officeDocument/2006/relationships/hyperlink" Target="http://www.nevo.co.il/law/70301/34h" TargetMode="External"/><Relationship Id="rId39" Type="http://schemas.openxmlformats.org/officeDocument/2006/relationships/hyperlink" Target="http://www.nevo.co.il/law/70301/300a" TargetMode="External"/><Relationship Id="rId40" Type="http://schemas.openxmlformats.org/officeDocument/2006/relationships/hyperlink" Target="http://www.nevo.co.il/law/70301/300a.a" TargetMode="External"/><Relationship Id="rId41" Type="http://schemas.openxmlformats.org/officeDocument/2006/relationships/hyperlink" Target="http://www.nevo.co.il/law/70301/34h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300a.a" TargetMode="External"/><Relationship Id="rId44" Type="http://schemas.openxmlformats.org/officeDocument/2006/relationships/hyperlink" Target="http://www.nevo.co.il/law/70301/300a.b" TargetMode="External"/><Relationship Id="rId45" Type="http://schemas.openxmlformats.org/officeDocument/2006/relationships/hyperlink" Target="http://www.nevo.co.il/law/70301/300a.b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300a.c" TargetMode="External"/><Relationship Id="rId48" Type="http://schemas.openxmlformats.org/officeDocument/2006/relationships/hyperlink" Target="http://www.nevo.co.il/law/74903/186" TargetMode="External"/><Relationship Id="rId49" Type="http://schemas.openxmlformats.org/officeDocument/2006/relationships/hyperlink" Target="http://www.nevo.co.il/law/74903" TargetMode="External"/><Relationship Id="rId50" Type="http://schemas.openxmlformats.org/officeDocument/2006/relationships/hyperlink" Target="http://www.nevo.co.il/law/70301/300a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301b.a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5.a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20243557" TargetMode="External"/><Relationship Id="rId57" Type="http://schemas.openxmlformats.org/officeDocument/2006/relationships/hyperlink" Target="http://www.nevo.co.il/case/5840388" TargetMode="External"/><Relationship Id="rId58" Type="http://schemas.openxmlformats.org/officeDocument/2006/relationships/hyperlink" Target="http://www.nevo.co.il/case/20243557" TargetMode="External"/><Relationship Id="rId59" Type="http://schemas.openxmlformats.org/officeDocument/2006/relationships/hyperlink" Target="http://www.nevo.co.il/law/70301/34h" TargetMode="External"/><Relationship Id="rId60" Type="http://schemas.openxmlformats.org/officeDocument/2006/relationships/hyperlink" Target="http://www.nevo.co.il/law/70301/300a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5926271" TargetMode="External"/><Relationship Id="rId63" Type="http://schemas.openxmlformats.org/officeDocument/2006/relationships/hyperlink" Target="http://www.nevo.co.il/case/20243557" TargetMode="External"/><Relationship Id="rId64" Type="http://schemas.openxmlformats.org/officeDocument/2006/relationships/hyperlink" Target="http://www.nevo.co.il/law/70301/34h" TargetMode="External"/><Relationship Id="rId65" Type="http://schemas.openxmlformats.org/officeDocument/2006/relationships/hyperlink" Target="http://www.nevo.co.il/law/70301/300a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case/20243557" TargetMode="External"/><Relationship Id="rId68" Type="http://schemas.openxmlformats.org/officeDocument/2006/relationships/hyperlink" Target="http://www.nevo.co.il/law/70301/300a" TargetMode="External"/><Relationship Id="rId69" Type="http://schemas.openxmlformats.org/officeDocument/2006/relationships/hyperlink" Target="http://www.nevo.co.il/case/20243557" TargetMode="External"/><Relationship Id="rId70" Type="http://schemas.openxmlformats.org/officeDocument/2006/relationships/hyperlink" Target="http://www.nevo.co.il/law/70301/300a" TargetMode="External"/><Relationship Id="rId71" Type="http://schemas.openxmlformats.org/officeDocument/2006/relationships/hyperlink" Target="http://www.nevo.co.il/law/70301/34i" TargetMode="External"/><Relationship Id="rId72" Type="http://schemas.openxmlformats.org/officeDocument/2006/relationships/hyperlink" Target="http://www.nevo.co.il/case/20243557" TargetMode="External"/><Relationship Id="rId73" Type="http://schemas.openxmlformats.org/officeDocument/2006/relationships/hyperlink" Target="http://www.nevo.co.il/law/70301/300a" TargetMode="External"/><Relationship Id="rId74" Type="http://schemas.openxmlformats.org/officeDocument/2006/relationships/hyperlink" Target="http://www.nevo.co.il/law/70301/300a" TargetMode="External"/><Relationship Id="rId75" Type="http://schemas.openxmlformats.org/officeDocument/2006/relationships/hyperlink" Target="http://www.nevo.co.il/law/70301/34h" TargetMode="External"/><Relationship Id="rId76" Type="http://schemas.openxmlformats.org/officeDocument/2006/relationships/hyperlink" Target="http://www.nevo.co.il/law/70301/300a" TargetMode="External"/><Relationship Id="rId77" Type="http://schemas.openxmlformats.org/officeDocument/2006/relationships/hyperlink" Target="http://www.nevo.co.il/case/20243557" TargetMode="External"/><Relationship Id="rId78" Type="http://schemas.openxmlformats.org/officeDocument/2006/relationships/hyperlink" Target="http://www.nevo.co.il/law/70301/300.a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advertisements/nevo-100.doc" TargetMode="External"/><Relationship Id="rId81" Type="http://schemas.openxmlformats.org/officeDocument/2006/relationships/header" Target="header1.xml"/><Relationship Id="rId82" Type="http://schemas.openxmlformats.org/officeDocument/2006/relationships/footer" Target="footer1.xml"/><Relationship Id="rId83" Type="http://schemas.openxmlformats.org/officeDocument/2006/relationships/fontTable" Target="fontTable.xml"/><Relationship Id="rId84" Type="http://schemas.openxmlformats.org/officeDocument/2006/relationships/settings" Target="settings.xml"/><Relationship Id="rId8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2019-10-28T12:52:00Z</dcterms:created>
  <dc:creator> </dc:creator>
  <dc:description/>
  <cp:keywords/>
  <dc:language>en-IL</dc:language>
  <cp:lastModifiedBy>h10</cp:lastModifiedBy>
  <dcterms:modified xsi:type="dcterms:W3CDTF">2019-10-28T12:52:00Z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אלמנתסר אללה קראעין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ProcID=133;209&amp;PartA=3095&amp;PartC=15</vt:lpwstr>
  </property>
  <property fmtid="{D5CDD505-2E9C-101B-9397-08002B2CF9AE}" pid="9" name="CASESLISTTMP1">
    <vt:lpwstr>5926271:2;5990314;5969322;20243557:8;5172651;5840388</vt:lpwstr>
  </property>
  <property fmtid="{D5CDD505-2E9C-101B-9397-08002B2CF9AE}" pid="10" name="CITY">
    <vt:lpwstr>י-ם</vt:lpwstr>
  </property>
  <property fmtid="{D5CDD505-2E9C-101B-9397-08002B2CF9AE}" pid="11" name="DATE">
    <vt:lpwstr>20191023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רפי כרמל;כרמי מוסק;שירלי רנר</vt:lpwstr>
  </property>
  <property fmtid="{D5CDD505-2E9C-101B-9397-08002B2CF9AE}" pid="15" name="LAWLISTTMP1">
    <vt:lpwstr>70301/300.a.2;144.b;144.a;300a.c:2;300a.a:5;300a:11;300;034h:5;300a.b:2;301b.a;005.a;034i;300.a</vt:lpwstr>
  </property>
  <property fmtid="{D5CDD505-2E9C-101B-9397-08002B2CF9AE}" pid="16" name="LAWLISTTMP2">
    <vt:lpwstr>74903/186</vt:lpwstr>
  </property>
  <property fmtid="{D5CDD505-2E9C-101B-9397-08002B2CF9AE}" pid="17" name="LAWYER">
    <vt:lpwstr>גיורא זילברשטיין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45473</vt:lpwstr>
  </property>
  <property fmtid="{D5CDD505-2E9C-101B-9397-08002B2CF9AE}" pid="24" name="NEWPARTB">
    <vt:lpwstr>08</vt:lpwstr>
  </property>
  <property fmtid="{D5CDD505-2E9C-101B-9397-08002B2CF9AE}" pid="25" name="NEWPARTC">
    <vt:lpwstr>16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390020191023</vt:lpwstr>
  </property>
  <property fmtid="{D5CDD505-2E9C-101B-9397-08002B2CF9AE}" pid="36" name="TYPE_N_DATE">
    <vt:lpwstr>39020191023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