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2381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47738-08-10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7128" w:type="dxa"/>
            <w:gridSpan w:val="3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47752-08-10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חני סלוטקי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מרדכי לוי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שלמה פרידלנדר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אלי חן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 חן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נידון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פרולה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</w:rPr>
        <w:t>1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תומר אורינוב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bookmarkStart w:id="6" w:name="PsakDin"/>
      <w:bookmarkEnd w:id="6"/>
      <w:r>
        <w:rPr>
          <w:rFonts w:ascii="Arial" w:hAnsi="Arial" w:cs="Arial"/>
          <w:sz w:val="28"/>
          <w:sz w:val="28"/>
          <w:szCs w:val="28"/>
          <w:rtl w:val="true"/>
        </w:rPr>
        <w:t xml:space="preserve">גזר דין </w:t>
      </w:r>
      <w:r>
        <w:rPr>
          <w:rFonts w:ascii="Arial" w:hAnsi="Arial" w:cs="Arial"/>
          <w:sz w:val="28"/>
          <w:sz w:val="28"/>
          <w:szCs w:val="28"/>
          <w:rtl w:val="true"/>
        </w:rPr>
        <w:t>–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נאשם </w:t>
      </w:r>
      <w:r>
        <w:rPr>
          <w:rFonts w:cs="Arial" w:ascii="Arial" w:hAnsi="Arial"/>
          <w:sz w:val="28"/>
          <w:szCs w:val="28"/>
        </w:rPr>
        <w:t>1</w:t>
      </w:r>
    </w:p>
    <w:p>
      <w:pPr>
        <w:pStyle w:val="David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9" w:name="ABSTRACT_START"/>
      <w:bookmarkEnd w:id="9"/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על פי הודאתו בעבירות שיוחסו לו בכתב האישום המתוקן</w:t>
      </w:r>
      <w:r>
        <w:rPr>
          <w:rtl w:val="true"/>
        </w:rPr>
        <w:t xml:space="preserve">: </w:t>
      </w:r>
      <w:r>
        <w:rPr>
          <w:rtl w:val="true"/>
        </w:rPr>
        <w:t>עבירה של חבלה בכוונה מחמירה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עבירות נשק </w:t>
      </w:r>
      <w:r>
        <w:rPr>
          <w:rtl w:val="true"/>
        </w:rPr>
        <w:t>(</w:t>
      </w:r>
      <w:r>
        <w:rPr>
          <w:rtl w:val="true"/>
        </w:rPr>
        <w:t>נשיאת נשק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 ועבירה של יריות באזור מגורים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bookmarkStart w:id="10" w:name="ABSTRACT_END"/>
      <w:bookmarkEnd w:id="10"/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הואשם יחד עם בנו</w:t>
      </w:r>
      <w:r>
        <w:rPr>
          <w:rtl w:val="true"/>
        </w:rPr>
        <w:t xml:space="preserve">, </w:t>
      </w:r>
      <w:r>
        <w:rPr>
          <w:rtl w:val="true"/>
        </w:rPr>
        <w:t xml:space="preserve">הוא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הורשע אף הוא בעבירה שיוחסה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עבירה של ניסיון תקיפה</w:t>
      </w:r>
      <w:r>
        <w:rPr>
          <w:rtl w:val="true"/>
        </w:rPr>
        <w:t xml:space="preserve">, </w:t>
      </w:r>
      <w:r>
        <w:rPr>
          <w:rtl w:val="true"/>
        </w:rPr>
        <w:t>ודינו נגזר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הודאת הנאשם באה בעקבות הסדר טיעון לפיו</w:t>
      </w:r>
      <w:r>
        <w:rPr>
          <w:rtl w:val="true"/>
        </w:rPr>
        <w:t xml:space="preserve">, </w:t>
      </w:r>
      <w:r>
        <w:rPr>
          <w:rtl w:val="true"/>
        </w:rPr>
        <w:t>יוחסו לנאשם בכתב האישום המתוקן העבירות שלעיל</w:t>
      </w:r>
      <w:r>
        <w:rPr>
          <w:rtl w:val="true"/>
        </w:rPr>
        <w:t xml:space="preserve">, </w:t>
      </w:r>
      <w:r>
        <w:rPr>
          <w:rtl w:val="true"/>
        </w:rPr>
        <w:t>חלף עבירות חמורות יותר שיוחסו לו בכתב האישום המקורי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 העונש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 המאשימה תעתור להשתת שש שנות מאסר על הנאשם ואילו ההגנה אינה מוגבלת בטיעוניה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העובדות המקימות את העבירות בהן הורשע הנאשם הן 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בתאריך </w:t>
      </w:r>
      <w:r>
        <w:rPr/>
        <w:t>12/08/10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הלך מיכאל גרימבלט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מיכאל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בסמוך לבית הנאשם שברח</w:t>
      </w:r>
      <w:r>
        <w:rPr>
          <w:rtl w:val="true"/>
        </w:rPr>
        <w:t xml:space="preserve">' </w:t>
      </w:r>
      <w:r>
        <w:rPr>
          <w:rtl w:val="true"/>
        </w:rPr>
        <w:t>הפורצים באשקלון</w:t>
      </w:r>
      <w:r>
        <w:rPr>
          <w:rtl w:val="true"/>
        </w:rPr>
        <w:t xml:space="preserve">, </w:t>
      </w:r>
      <w:r>
        <w:rPr>
          <w:rtl w:val="true"/>
        </w:rPr>
        <w:t>שהינו אזור מגורים</w:t>
      </w:r>
      <w:r>
        <w:rPr>
          <w:rtl w:val="true"/>
        </w:rPr>
        <w:t xml:space="preserve">. </w:t>
      </w:r>
      <w:r>
        <w:rPr>
          <w:rtl w:val="true"/>
        </w:rPr>
        <w:t xml:space="preserve">ניקולה ירמיה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ניקולה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היה אותה העת גם הוא בסמוך לבית הנאשם  ביחד עם אחר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ניקולה ראה את מיכאל</w:t>
      </w:r>
      <w:r>
        <w:rPr>
          <w:rtl w:val="true"/>
        </w:rPr>
        <w:t xml:space="preserve">, </w:t>
      </w:r>
      <w:r>
        <w:rPr>
          <w:rtl w:val="true"/>
        </w:rPr>
        <w:t>פנה אליו וטען כי מיכאל חייב לו כ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₪. </w:t>
      </w:r>
      <w:r>
        <w:rPr>
          <w:rtl w:val="true"/>
        </w:rPr>
        <w:t>ניקולה ואחר תקפו את מיכאל</w:t>
      </w:r>
      <w:r>
        <w:rPr>
          <w:rtl w:val="true"/>
        </w:rPr>
        <w:t xml:space="preserve">. </w:t>
      </w:r>
      <w:r>
        <w:rPr>
          <w:rtl w:val="true"/>
        </w:rPr>
        <w:t>הנאשם שהבחין בקטטה הגיע למקום ומיכאל עזב את 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 החל להטיח קללות בניקולה בשל סכסוך שהיה ביניהם</w:t>
      </w:r>
      <w:r>
        <w:rPr>
          <w:rtl w:val="true"/>
        </w:rPr>
        <w:t xml:space="preserve">. </w:t>
      </w:r>
      <w:r>
        <w:rPr>
          <w:rtl w:val="true"/>
        </w:rPr>
        <w:t>הנאשם הלך לכיוון ביתו וחזר כשבידו אקדח אותו נשא שלא כדין והחל לרדוף אחר ניקולה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ירה מהאקדח לעבר גופו של ניקולה מספר יריות כשבכוונתו להטיל בניקולה נכות או מום או לגרום לו לחבלה חמורה</w:t>
      </w:r>
      <w:r>
        <w:rPr>
          <w:rtl w:val="true"/>
        </w:rPr>
        <w:t xml:space="preserve">, </w:t>
      </w:r>
      <w:r>
        <w:rPr>
          <w:rtl w:val="true"/>
        </w:rPr>
        <w:t>אולם ניקולה לא נפגע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 אלו</w:t>
      </w:r>
      <w:r>
        <w:rPr>
          <w:rtl w:val="true"/>
        </w:rPr>
        <w:t xml:space="preserve">, </w:t>
      </w:r>
      <w:r>
        <w:rPr>
          <w:rtl w:val="true"/>
        </w:rPr>
        <w:t>נשא הנאשם נשק שלא כדין</w:t>
      </w:r>
      <w:r>
        <w:rPr>
          <w:rtl w:val="true"/>
        </w:rPr>
        <w:t xml:space="preserve">, </w:t>
      </w:r>
      <w:r>
        <w:rPr>
          <w:rtl w:val="true"/>
        </w:rPr>
        <w:t>וניסה שלא כדין לפגוע בניקולה באמצעות ירי הקליעים מהאקדח</w:t>
      </w:r>
      <w:r>
        <w:rPr>
          <w:rtl w:val="true"/>
        </w:rPr>
        <w:t xml:space="preserve">, </w:t>
      </w:r>
      <w:r>
        <w:rPr>
          <w:rtl w:val="true"/>
        </w:rPr>
        <w:t>בכוונה להטיל בו נכות או מום</w:t>
      </w:r>
      <w:r>
        <w:rPr>
          <w:rtl w:val="true"/>
        </w:rPr>
        <w:t xml:space="preserve">, </w:t>
      </w:r>
      <w:r>
        <w:rPr>
          <w:rtl w:val="true"/>
        </w:rPr>
        <w:t>או לגרום לו חבלה חמורה תוך שיורה באזור מגורים מאקדחו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בטיעוניו לעונש</w:t>
      </w:r>
      <w:r>
        <w:rPr>
          <w:rtl w:val="true"/>
        </w:rPr>
        <w:t xml:space="preserve">, </w:t>
      </w:r>
      <w:r>
        <w:rPr>
          <w:rtl w:val="true"/>
        </w:rPr>
        <w:t>עמד על כך שהנאשם הודה בכתב אישום המייחס לו עבירות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נשיאת נשק ויריות באזור מגורים וכל זאת על רקע של חוב כספי פעוט ביותר</w:t>
      </w:r>
      <w:r>
        <w:rPr>
          <w:rtl w:val="true"/>
        </w:rPr>
        <w:t xml:space="preserve">. </w:t>
      </w:r>
      <w:r>
        <w:rPr>
          <w:rtl w:val="true"/>
        </w:rPr>
        <w:t>כן הדגיש כי מדובר בעבירת ירי בשכונת מגורים בחודש אוגוסט</w:t>
      </w:r>
      <w:r>
        <w:rPr>
          <w:rtl w:val="true"/>
        </w:rPr>
        <w:t xml:space="preserve">, </w:t>
      </w:r>
      <w:r>
        <w:rPr>
          <w:rtl w:val="true"/>
        </w:rPr>
        <w:t>חודש בו מתקיים החופש הגדול</w:t>
      </w:r>
      <w:r>
        <w:rPr>
          <w:rtl w:val="true"/>
        </w:rPr>
        <w:t xml:space="preserve">, </w:t>
      </w:r>
      <w:r>
        <w:rPr>
          <w:rtl w:val="true"/>
        </w:rPr>
        <w:t>שמשמעות הדבר היא נסיבה מחמירה 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 להשתת שש שנות מאסר בפועל על הנאשם</w:t>
      </w:r>
      <w:r>
        <w:rPr>
          <w:rtl w:val="true"/>
        </w:rPr>
        <w:t xml:space="preserve">, </w:t>
      </w:r>
      <w:r>
        <w:rPr>
          <w:rtl w:val="true"/>
        </w:rPr>
        <w:t>כפי שהוסכם שיעתור וציין</w:t>
      </w:r>
      <w:r>
        <w:rPr>
          <w:rtl w:val="true"/>
        </w:rPr>
        <w:t xml:space="preserve">, </w:t>
      </w:r>
      <w:r>
        <w:rPr>
          <w:rtl w:val="true"/>
        </w:rPr>
        <w:t>כי עתירה לעונש זה הינה סבירה ואף מתחייבת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משעסקינן בנאשם אשר לחובתו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וכן תלוי ועומד כנגדו מאסר מותנה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לגביו מסכימה המאשימה כי ירוצה בחופף או במצטבר ובלבד שעונשו של הנאשם לא יפחת משש שנות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</w:t>
      </w:r>
      <w:r>
        <w:rPr>
          <w:rtl w:val="true"/>
        </w:rPr>
        <w:t xml:space="preserve">, </w:t>
      </w:r>
      <w:r>
        <w:rPr>
          <w:rtl w:val="true"/>
        </w:rPr>
        <w:t>כי מדובר במי שריצה עונשי מאסר רבים בגין מגוון עבירות</w:t>
      </w:r>
      <w:r>
        <w:rPr>
          <w:rtl w:val="true"/>
        </w:rPr>
        <w:t xml:space="preserve">, </w:t>
      </w:r>
      <w:r>
        <w:rPr>
          <w:rtl w:val="true"/>
        </w:rPr>
        <w:t>עבירות 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 ועוד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 על כך</w:t>
      </w:r>
      <w:r>
        <w:rPr>
          <w:rtl w:val="true"/>
        </w:rPr>
        <w:t xml:space="preserve">, </w:t>
      </w:r>
      <w:r>
        <w:rPr>
          <w:rtl w:val="true"/>
        </w:rPr>
        <w:t>כי הודאת הנאשם באה לאחר שהעידו שני עדי תביעה</w:t>
      </w:r>
      <w:r>
        <w:rPr>
          <w:rtl w:val="true"/>
        </w:rPr>
        <w:t xml:space="preserve">, </w:t>
      </w:r>
      <w:r>
        <w:rPr>
          <w:rtl w:val="true"/>
        </w:rPr>
        <w:t>אשר עברו חוויה קשה מעצם הגעתם לבית המשפט לצורך מתן העדות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 את המסוכנות הגדולה שבמעשי הנאשם בעצם נטילת נשק וירי בשכונת 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לפסיקה בעבירות דומות אשר תומכת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בעתירתו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בטיעוניו לעונש</w:t>
      </w:r>
      <w:r>
        <w:rPr>
          <w:rtl w:val="true"/>
        </w:rPr>
        <w:t xml:space="preserve">, </w:t>
      </w:r>
      <w:r>
        <w:rPr>
          <w:rtl w:val="true"/>
        </w:rPr>
        <w:t xml:space="preserve">עמד על כך שמדובר בנאשם כבן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אשר הודה בכתב האישום המתוקן</w:t>
      </w:r>
      <w:r>
        <w:rPr>
          <w:rtl w:val="true"/>
        </w:rPr>
        <w:t xml:space="preserve">, </w:t>
      </w:r>
      <w:r>
        <w:rPr>
          <w:rtl w:val="true"/>
        </w:rPr>
        <w:t>כתב אישום אשר תוקן על דרך ההקלה ונמחקה ממנו עבירת ניסיון הרצח</w:t>
      </w:r>
      <w:r>
        <w:rPr>
          <w:rtl w:val="true"/>
        </w:rPr>
        <w:t xml:space="preserve">, </w:t>
      </w:r>
      <w:r>
        <w:rPr>
          <w:rtl w:val="true"/>
        </w:rPr>
        <w:t>ובכך הביא לחיסכון זמן שיפוטי יקר וכן חסך מהעדים את הצורך במתן עדות בבית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 הדגיש</w:t>
      </w:r>
      <w:r>
        <w:rPr>
          <w:rtl w:val="true"/>
        </w:rPr>
        <w:t xml:space="preserve">, </w:t>
      </w:r>
      <w:r>
        <w:rPr>
          <w:rtl w:val="true"/>
        </w:rPr>
        <w:t>כי הנאשם לקח אחריות על מעשיו וכי בסופו של יום מדובר באירוע שהסתיים ללא נפגעים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 המציא אסופת פסיקה בעבירות ובעובדות דומות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לאלה שבפנינו</w:t>
      </w:r>
      <w:r>
        <w:rPr>
          <w:rtl w:val="true"/>
        </w:rPr>
        <w:t xml:space="preserve">, </w:t>
      </w:r>
      <w:r>
        <w:rPr>
          <w:rtl w:val="true"/>
        </w:rPr>
        <w:t>ושעל פיה רף הענישה מגיע לשלושים חודשי מאסר בפועל במקרים ללא פגיעה באדם ובמקרה של פגיעה באדם</w:t>
      </w:r>
      <w:r>
        <w:rPr>
          <w:rtl w:val="true"/>
        </w:rPr>
        <w:t xml:space="preserve">, </w:t>
      </w:r>
      <w:r>
        <w:rPr>
          <w:rtl w:val="true"/>
        </w:rPr>
        <w:t>לשלושים ושישה 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עתר הסנגור להפעלת המאסר המותנה בחופף</w:t>
      </w:r>
      <w:r>
        <w:rPr>
          <w:rtl w:val="true"/>
        </w:rPr>
        <w:t xml:space="preserve">, </w:t>
      </w:r>
      <w:r>
        <w:rPr>
          <w:rtl w:val="true"/>
        </w:rPr>
        <w:t>לפחות בחלקו</w:t>
      </w:r>
      <w:r>
        <w:rPr>
          <w:rtl w:val="true"/>
        </w:rPr>
        <w:t xml:space="preserve">, </w:t>
      </w:r>
      <w:r>
        <w:rPr>
          <w:rtl w:val="true"/>
        </w:rPr>
        <w:t>נוכח ההודאה ולקיחת האחריות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בדבריו אמר</w:t>
      </w:r>
      <w:r>
        <w:rPr>
          <w:rtl w:val="true"/>
        </w:rPr>
        <w:t xml:space="preserve">, </w:t>
      </w:r>
      <w:r>
        <w:rPr>
          <w:rtl w:val="true"/>
        </w:rPr>
        <w:t>כי הוא לוקח אחריות על מעשיו וכן הביע חרטה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 הוא יוצא ונכנס בדלתות בתי הסוהר ומעולם לא שוקם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ביקש מבית המשפט שיתחשב במצבו</w:t>
      </w:r>
      <w:r>
        <w:rPr>
          <w:rtl w:val="true"/>
        </w:rPr>
        <w:t xml:space="preserve">, </w:t>
      </w:r>
      <w:r>
        <w:rPr>
          <w:rtl w:val="true"/>
        </w:rPr>
        <w:t>סיפר כי הוא גרוש</w:t>
      </w:r>
      <w:r>
        <w:rPr>
          <w:rtl w:val="true"/>
        </w:rPr>
        <w:t xml:space="preserve">, </w:t>
      </w:r>
      <w:r>
        <w:rPr>
          <w:rtl w:val="true"/>
        </w:rPr>
        <w:t>לאחר ניתוח וכי הוא רוצה להשתקם ולשוב לחיים נורמטיביים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העבירות בהן הורשע הנאשם הן חמורות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 סכסוך עם אחר – ניקולה</w:t>
      </w:r>
      <w:r>
        <w:rPr>
          <w:rtl w:val="true"/>
        </w:rPr>
        <w:t xml:space="preserve">, </w:t>
      </w:r>
      <w:r>
        <w:rPr>
          <w:rtl w:val="true"/>
        </w:rPr>
        <w:t>נטל כלי ירייה קטלני ורדף אחר ניקולה</w:t>
      </w:r>
      <w:r>
        <w:rPr>
          <w:rtl w:val="true"/>
        </w:rPr>
        <w:t xml:space="preserve">, </w:t>
      </w:r>
      <w:r>
        <w:rPr>
          <w:rtl w:val="true"/>
        </w:rPr>
        <w:t>תוך כדי ירי לעבר גופו</w:t>
      </w:r>
      <w:r>
        <w:rPr>
          <w:rtl w:val="true"/>
        </w:rPr>
        <w:t xml:space="preserve">, </w:t>
      </w:r>
      <w:r>
        <w:rPr>
          <w:rtl w:val="true"/>
        </w:rPr>
        <w:t>בכוונה להטיל בניקולה נכות ולגרום לו לחבלה 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למרבית המזל</w:t>
      </w:r>
      <w:r>
        <w:rPr>
          <w:rtl w:val="true"/>
        </w:rPr>
        <w:t xml:space="preserve">, </w:t>
      </w:r>
      <w:r>
        <w:rPr>
          <w:rtl w:val="true"/>
        </w:rPr>
        <w:t>לא נפגע ניקולה אך אין בכך כדי להמעיט מחומרתו של 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שומה על בית המשפט להביע סלידה ממעשים כגון אלה של פתרון סכסוכים באלימות קשה</w:t>
      </w:r>
      <w:r>
        <w:rPr>
          <w:rtl w:val="true"/>
        </w:rPr>
        <w:t xml:space="preserve">, </w:t>
      </w:r>
      <w:r>
        <w:rPr>
          <w:rtl w:val="true"/>
        </w:rPr>
        <w:t>באמצעות ירי לעבר אדם בכוונה לפגוע בו</w:t>
      </w:r>
      <w:r>
        <w:rPr>
          <w:rtl w:val="true"/>
        </w:rPr>
        <w:t xml:space="preserve">, </w:t>
      </w:r>
      <w:r>
        <w:rPr>
          <w:rtl w:val="true"/>
        </w:rPr>
        <w:t>באזור מגורים</w:t>
      </w:r>
      <w:r>
        <w:rPr>
          <w:rtl w:val="true"/>
        </w:rPr>
        <w:t xml:space="preserve">, </w:t>
      </w:r>
      <w:r>
        <w:rPr>
          <w:rtl w:val="true"/>
        </w:rPr>
        <w:t>באופן שיש בו גם לסכן אחרים עוברי אורח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בהקשר דומה נאמר על ידי בית המשפט העליון 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רייכמן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/>
        <w:t>07.02.2005</w:t>
      </w:r>
      <w:r>
        <w:rPr>
          <w:rtl w:val="true"/>
        </w:rPr>
        <w:t>):</w:t>
      </w:r>
    </w:p>
    <w:p>
      <w:pPr>
        <w:pStyle w:val="Normal"/>
        <w:ind w:start="1644" w:end="1276"/>
        <w:jc w:val="both"/>
        <w:rPr>
          <w:spacing w:val="10"/>
        </w:rPr>
      </w:pPr>
      <w:r>
        <w:rPr>
          <w:rFonts w:cs="FrankRuehl" w:ascii="Arial TUR;Arial" w:hAnsi="Arial TUR;Arial"/>
          <w:b/>
          <w:bCs/>
          <w:spacing w:val="10"/>
          <w:rtl w:val="true"/>
        </w:rPr>
        <w:t xml:space="preserve">"...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לאחרונה נתקלים אנו במעשי בריונות שלא ידענו בעבר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שאם בעבר יישבו צעירים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וגם מי שאינם צעירים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חילוקי דיעות שביניהם בסכינים שנעצו בגופו של הזולת </w:t>
      </w:r>
      <w:r>
        <w:rPr>
          <w:rFonts w:cs="Arial TUR;Arial" w:ascii="Arial TUR;Arial" w:hAnsi="Arial TUR;Arial"/>
          <w:b/>
          <w:bCs/>
          <w:spacing w:val="10"/>
          <w:rtl w:val="true"/>
        </w:rPr>
        <w:t>- 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תת תרבות הסכין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קראנו לתופעה ממאירה זו 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-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הנה כיום עלינו 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-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או שמא נאמר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: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ירדנו 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-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ברמה ובחומרה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;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לא עוד יישוב סיכסוכים בנשק קר אלא יישוב סיכסוכים בנשק חם</w:t>
      </w:r>
      <w:r>
        <w:rPr>
          <w:rFonts w:cs="Arial TUR;Arial" w:ascii="Arial TUR;Arial" w:hAnsi="Arial TUR;Arial"/>
          <w:b/>
          <w:bCs/>
          <w:spacing w:val="10"/>
          <w:rtl w:val="true"/>
        </w:rPr>
        <w:t>. 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סיכסוכים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קראנו לאותם חילוקי דיעות שאנשים מבקשים ליישבם באלימות קשה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אלא שלמרבה התמיהה והצער אין המדובר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ברוב המקרים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בסיכסוכים של ממש אלא בסיכסוכים שניתן לכנותם סיכסוכי</w:t>
      </w:r>
      <w:r>
        <w:rPr>
          <w:rFonts w:cs="Arial TUR;Arial" w:ascii="Arial TUR;Arial" w:hAnsi="Arial TUR;Arial"/>
          <w:b/>
          <w:bCs/>
          <w:spacing w:val="10"/>
          <w:rtl w:val="true"/>
        </w:rPr>
        <w:t>-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זוטא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סיכסוכי</w:t>
      </w:r>
      <w:r>
        <w:rPr>
          <w:rFonts w:cs="Arial TUR;Arial" w:ascii="Arial TUR;Arial" w:hAnsi="Arial TUR;Arial"/>
          <w:b/>
          <w:bCs/>
          <w:spacing w:val="10"/>
          <w:rtl w:val="true"/>
        </w:rPr>
        <w:t>-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זוטא אלה מעורבים בהם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על הרוב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אנשים צעירים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ועל דברים של מה</w:t>
      </w:r>
      <w:r>
        <w:rPr>
          <w:rFonts w:cs="Arial TUR;Arial" w:ascii="Arial TUR;Arial" w:hAnsi="Arial TUR;Arial"/>
          <w:b/>
          <w:bCs/>
          <w:spacing w:val="10"/>
          <w:rtl w:val="true"/>
        </w:rPr>
        <w:t>-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בכך נשלפת סכין וננעצת בגוף הזולת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לאחרונה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כאמור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נשלף כלי ירייה קטלני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תופעה נוראה זו פשתה בחברתנו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היתה כמחלה ממארת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וחובה היא המוטלת עלינו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על בית</w:t>
      </w:r>
      <w:r>
        <w:rPr>
          <w:rFonts w:cs="Arial TUR;Arial" w:ascii="Arial TUR;Arial" w:hAnsi="Arial TUR;Arial"/>
          <w:b/>
          <w:bCs/>
          <w:spacing w:val="10"/>
          <w:rtl w:val="true"/>
        </w:rPr>
        <w:t>-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המשפט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להעלות תרומתו למלחמה קשה זו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מלחמה היא שאסור לעשות בה ויתורים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שאם נוותר ונסלח תתגבר התופעה ותלך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חברתנו הפכה להיותה חברה אלימה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ותרומתו של בית</w:t>
      </w:r>
      <w:r>
        <w:rPr>
          <w:rFonts w:cs="Arial TUR;Arial" w:ascii="Arial TUR;Arial" w:hAnsi="Arial TUR;Arial"/>
          <w:b/>
          <w:bCs/>
          <w:spacing w:val="10"/>
          <w:rtl w:val="true"/>
        </w:rPr>
        <w:t>-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המשפט למלחמה באלימות היא בהטלת עונשים ראויים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בבואנו לגזור עונשים על עבריינים כמשיב שלפנינו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שומה עלינו לשוות נגד עינינו לא רק את המשיב ואת צורכי שיקומו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;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לא רק את משפחתו הסובלת בשל מעשיו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;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אלא גם את הנפגעים ממעשיו של המשיב ואת הנפגעים ממעשים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>-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בכוח שייעשו אם לא נגיב בחומרה על מעשים כמעשה המשיב</w:t>
      </w:r>
      <w:r>
        <w:rPr>
          <w:b/>
          <w:bCs/>
          <w:spacing w:val="10"/>
          <w:rtl w:val="true"/>
        </w:rPr>
        <w:t>"</w:t>
      </w:r>
      <w:r>
        <w:rPr>
          <w:spacing w:val="10"/>
          <w:rtl w:val="true"/>
        </w:rPr>
        <w:t xml:space="preserve"> [</w:t>
      </w:r>
      <w:r>
        <w:rPr>
          <w:spacing w:val="10"/>
          <w:rtl w:val="true"/>
        </w:rPr>
        <w:t>ההדגשה הוספה – ח</w:t>
      </w:r>
      <w:r>
        <w:rPr>
          <w:spacing w:val="10"/>
          <w:rtl w:val="true"/>
        </w:rPr>
        <w:t>.</w:t>
      </w:r>
      <w:r>
        <w:rPr>
          <w:spacing w:val="10"/>
          <w:rtl w:val="true"/>
        </w:rPr>
        <w:t>ס</w:t>
      </w:r>
      <w:r>
        <w:rPr>
          <w:spacing w:val="10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  <w:t>על חומרת העבירות נוספת העובדה כי הנאשם הוא בעל עבר פלילי מכביד אשר ריצה בעברו מאסרים רבים</w:t>
      </w:r>
      <w:r>
        <w:rPr>
          <w:spacing w:val="1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rtl w:val="true"/>
        </w:rPr>
        <w:t>לזכות הנאשם שקלנו את הודאתו בעובדות כתב האישום המתוקן שיש בה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בנסיבות העניין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משום חיסכון ניכר בזמן שיפוטי</w:t>
      </w:r>
      <w:r>
        <w:rPr>
          <w:rtl w:val="true"/>
        </w:rPr>
        <w:t xml:space="preserve">, </w:t>
      </w:r>
      <w:r>
        <w:rPr>
          <w:rtl w:val="true"/>
        </w:rPr>
        <w:t>אף שבאה לאחר תחילת שמיעת ראיות 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 ובעיקר</w:t>
      </w:r>
      <w:r>
        <w:rPr>
          <w:rtl w:val="true"/>
        </w:rPr>
        <w:t xml:space="preserve">, </w:t>
      </w:r>
      <w:r>
        <w:rPr>
          <w:rtl w:val="true"/>
        </w:rPr>
        <w:t>שקלנו את לקיחת האחריות והבעת החרטה העולה מההודאה ומדברי הסנגור והנאשם 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נתנו דעתנו לפסיקה שהוגשה על ידי הצדדים</w:t>
      </w:r>
      <w:r>
        <w:rPr>
          <w:rtl w:val="true"/>
        </w:rPr>
        <w:t xml:space="preserve">. </w:t>
      </w:r>
      <w:r>
        <w:rPr>
          <w:rtl w:val="true"/>
        </w:rPr>
        <w:t>פסק הדין הקרוב לענייננו הוא 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7374/07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רן שמאי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16/11/09</w:t>
      </w:r>
      <w:r>
        <w:rPr>
          <w:rtl w:val="true"/>
        </w:rPr>
        <w:t xml:space="preserve">), </w:t>
      </w:r>
      <w:r>
        <w:rPr>
          <w:rtl w:val="true"/>
        </w:rPr>
        <w:t>של בית המשפט העליון</w:t>
      </w:r>
      <w:r>
        <w:rPr>
          <w:rtl w:val="true"/>
        </w:rPr>
        <w:t xml:space="preserve">, </w:t>
      </w:r>
      <w:r>
        <w:rPr>
          <w:rtl w:val="true"/>
        </w:rPr>
        <w:t>בו נדחה ערעורו של המערער אשר נידון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לחמש שנות מאסר בפועל בגין ירייה בודדת מטווח של כחמישה מטרים</w:t>
      </w:r>
      <w:r>
        <w:rPr>
          <w:rtl w:val="true"/>
        </w:rPr>
        <w:t xml:space="preserve">, </w:t>
      </w:r>
      <w:r>
        <w:rPr>
          <w:rtl w:val="true"/>
        </w:rPr>
        <w:t>אל עבר אנשים שעמדו בכניסה למועדון ובכלל זה המאבטחים</w:t>
      </w:r>
      <w:r>
        <w:rPr>
          <w:rtl w:val="true"/>
        </w:rPr>
        <w:t xml:space="preserve">, </w:t>
      </w:r>
      <w:r>
        <w:rPr>
          <w:rtl w:val="true"/>
        </w:rPr>
        <w:t>הסלקטורית וציבור המבלים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 של המערער שמאי</w:t>
      </w:r>
      <w:r>
        <w:rPr>
          <w:rtl w:val="true"/>
        </w:rPr>
        <w:t xml:space="preserve">, </w:t>
      </w:r>
      <w:r>
        <w:rPr>
          <w:rtl w:val="true"/>
        </w:rPr>
        <w:t>ניתנה הכרעת הדין לאחר שמיעת הראיות כולן</w:t>
      </w:r>
      <w:r>
        <w:rPr>
          <w:rtl w:val="true"/>
        </w:rPr>
        <w:t xml:space="preserve">, </w:t>
      </w:r>
      <w:r>
        <w:rPr>
          <w:rtl w:val="true"/>
        </w:rPr>
        <w:t>מבלי שהמערער הודה באשמתו ועל כן לא היה זכאי להקלה שלה זכאים אלה המודים באשמתם כמו הנאשם 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ששקלנו טענות הצדדים</w:t>
      </w:r>
      <w:r>
        <w:rPr>
          <w:rtl w:val="true"/>
        </w:rPr>
        <w:t xml:space="preserve">, </w:t>
      </w:r>
      <w:r>
        <w:rPr>
          <w:rtl w:val="true"/>
        </w:rPr>
        <w:t>אנו דנים את הנאשם לעונשים כדלקמן</w:t>
      </w:r>
      <w:r>
        <w:rPr>
          <w:rtl w:val="true"/>
        </w:rPr>
        <w:t xml:space="preserve">: 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הננו מורים על הפעלת עונש המאסר המותנה של שמונה חודשים </w:t>
      </w:r>
      <w:r>
        <w:rPr>
          <w:rtl w:val="true"/>
        </w:rPr>
        <w:t>שהוטל על הנאשם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1054/07</w:t>
      </w:r>
      <w:r>
        <w:rPr>
          <w:rtl w:val="true"/>
        </w:rPr>
        <w:t xml:space="preserve"> </w:t>
      </w:r>
      <w:r>
        <w:rPr>
          <w:rtl w:val="true"/>
        </w:rPr>
        <w:t xml:space="preserve">של בית משפט השלום באשקלון מיום </w:t>
      </w:r>
      <w:r>
        <w:rPr/>
        <w:t>10/01/08</w:t>
      </w:r>
      <w:r>
        <w:rPr>
          <w:rtl w:val="true"/>
        </w:rPr>
        <w:t xml:space="preserve">. </w:t>
      </w:r>
      <w:r>
        <w:rPr>
          <w:rtl w:val="true"/>
        </w:rPr>
        <w:t>הפעלת מאסר מותנה זה תהא באופן שששה חודשים מתוכו ירוצו במצטבר לעונש המאסר שהוטל והיתר בחופף</w:t>
      </w:r>
      <w:r>
        <w:rPr>
          <w:rtl w:val="true"/>
        </w:rPr>
        <w:t xml:space="preserve">, </w:t>
      </w:r>
      <w:r>
        <w:rPr>
          <w:rtl w:val="true"/>
        </w:rPr>
        <w:t xml:space="preserve">כך שסך הכל על הנאשם לרצות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מיום מעצרו </w:t>
      </w:r>
      <w:r>
        <w:rPr/>
        <w:t>12/08/10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שתי שנות מאסר על תנאי למשך שלוש שנים מיום שחרורו שלא יעבור עבירה של אלימות מסוג פשע או עבירה של החזקת נשק שלא כדין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שלמה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פרידלנדר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המשטרה תחזיר לידי הגברת מירי חן שני פלאפונים של הנאשם המוחזקים בידיה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חני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סלוטקי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מרדכי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לוי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שלמה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פרידלנדר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47738-08-10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 חן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case/6030667" TargetMode="External"/><Relationship Id="rId11" Type="http://schemas.openxmlformats.org/officeDocument/2006/relationships/hyperlink" Target="http://www.nevo.co.il/case/610236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2016-05-10T14:48:00Z</dcterms:created>
  <dc:creator> </dc:creator>
  <dc:description/>
  <cp:keywords/>
  <dc:language>en-IL</dc:language>
  <cp:lastModifiedBy>yafit</cp:lastModifiedBy>
  <dcterms:modified xsi:type="dcterms:W3CDTF">2016-05-10T14:48:00Z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 חן;משה חן</vt:lpwstr>
  </property>
  <property fmtid="{D5CDD505-2E9C-101B-9397-08002B2CF9AE}" pid="4" name="CASESLISTTMP1">
    <vt:lpwstr>6030667;6102366</vt:lpwstr>
  </property>
  <property fmtid="{D5CDD505-2E9C-101B-9397-08002B2CF9AE}" pid="5" name="CITY">
    <vt:lpwstr>ב"ש</vt:lpwstr>
  </property>
  <property fmtid="{D5CDD505-2E9C-101B-9397-08002B2CF9AE}" pid="6" name="DATE">
    <vt:lpwstr>20110519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סלוטקי;מרדכי לוי;שלמה פרידלנדר</vt:lpwstr>
  </property>
  <property fmtid="{D5CDD505-2E9C-101B-9397-08002B2CF9AE}" pid="10" name="LAWLISTTMP1">
    <vt:lpwstr>70301/329.a.2;144.b;340a</vt:lpwstr>
  </property>
  <property fmtid="{D5CDD505-2E9C-101B-9397-08002B2CF9AE}" pid="11" name="LAWYER">
    <vt:lpwstr>פרולה;תומר אורינוב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47738</vt:lpwstr>
  </property>
  <property fmtid="{D5CDD505-2E9C-101B-9397-08002B2CF9AE}" pid="25" name="NEWPARTB">
    <vt:lpwstr>08</vt:lpwstr>
  </property>
  <property fmtid="{D5CDD505-2E9C-101B-9397-08002B2CF9AE}" pid="26" name="NEWPARTC">
    <vt:lpwstr>10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08 47738 210 htm</vt:lpwstr>
  </property>
  <property fmtid="{D5CDD505-2E9C-101B-9397-08002B2CF9AE}" pid="36" name="TYPE">
    <vt:lpwstr>2</vt:lpwstr>
  </property>
  <property fmtid="{D5CDD505-2E9C-101B-9397-08002B2CF9AE}" pid="37" name="TYPE_ABS_DATE">
    <vt:lpwstr>390020110519</vt:lpwstr>
  </property>
  <property fmtid="{D5CDD505-2E9C-101B-9397-08002B2CF9AE}" pid="38" name="TYPE_N_DATE">
    <vt:lpwstr>39020110519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