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4"/>
        <w:gridCol w:w="3571"/>
      </w:tblGrid>
      <w:tr>
        <w:trPr>
          <w:trHeight w:val="426" w:hRule="atLeas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493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47805-04-13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spacing w:lineRule="auto" w:line="360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קורב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שאער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מופיד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כאיד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קוטוב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טארק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ברגות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חגאזי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בזלמית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וסים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לידאווי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372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end="0"/>
        <w:jc w:val="start"/>
        <w:rPr>
          <w:rStyle w:val="ArialFrankRuehl14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ArialFrankRuehl14"/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ArialFrankRuehl14"/>
          <w:rFonts w:ascii="FrankRuehl" w:hAnsi="FrankRuehl" w:cs="FrankRuehl"/>
          <w:color w:val="0000FF"/>
          <w:sz w:val="24"/>
          <w:szCs w:val="24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92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99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143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372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Style w:val="ArialFrankRuehl14"/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ArialFrankRuehl14"/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6" w:name="PsakDin"/>
            <w:bookmarkStart w:id="7" w:name="PsakDin"/>
            <w:bookmarkEnd w:id="7"/>
          </w:p>
        </w:tc>
      </w:tr>
    </w:tbl>
    <w:p>
      <w:pPr>
        <w:pStyle w:val="Normal"/>
        <w:spacing w:lineRule="auto" w:line="480"/>
        <w:ind w:end="0"/>
        <w:jc w:val="start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bookmarkStart w:id="8" w:name="ABSTRACT_START"/>
      <w:bookmarkEnd w:id="8"/>
      <w:r>
        <w:rPr>
          <w:rFonts w:ascii="Calibri" w:hAnsi="Calibri" w:cs="Calibri"/>
          <w:b/>
          <w:b/>
          <w:bCs/>
          <w:rtl w:val="true"/>
          <w:lang w:val="en-US" w:eastAsia="en-US"/>
        </w:rPr>
        <w:t>נא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שמים </w:t>
      </w:r>
      <w:r>
        <w:rPr>
          <w:rFonts w:cs="Calibri" w:ascii="Calibri" w:hAnsi="Calibri"/>
          <w:b/>
          <w:bCs/>
          <w:lang w:val="en-US" w:eastAsia="en-US"/>
        </w:rPr>
        <w:t>1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cs="Calibri" w:ascii="Calibri" w:hAnsi="Calibri"/>
          <w:b/>
          <w:bCs/>
          <w:lang w:val="en-US" w:eastAsia="en-US"/>
        </w:rPr>
        <w:t>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בהכרעת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24.6.15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מלחמה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92+99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"); </w:t>
      </w:r>
      <w:r>
        <w:rPr>
          <w:rFonts w:ascii="Calibri" w:hAnsi="Calibri" w:cs="Calibri"/>
          <w:rtl w:val="true"/>
          <w:lang w:val="en-US" w:eastAsia="en-US"/>
        </w:rPr>
        <w:t>וניסיון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)+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bookmarkStart w:id="9" w:name="ABSTRACT_END"/>
      <w:bookmarkEnd w:id="9"/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372+25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35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שוד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112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21.1.2015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ואלו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tl w:val="true"/>
        </w:rPr>
        <w:t xml:space="preserve">-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; </w:t>
      </w:r>
      <w:r>
        <w:rPr>
          <w:rtl w:val="true"/>
        </w:rPr>
        <w:t>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רקמו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מהחוליה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קלנדיה</w:t>
      </w:r>
      <w:r>
        <w:rPr>
          <w:rtl w:val="true"/>
        </w:rPr>
        <w:t xml:space="preserve">,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ובידיעתו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שיזמה</w:t>
      </w:r>
      <w:r>
        <w:rPr>
          <w:rtl w:val="true"/>
        </w:rPr>
        <w:t xml:space="preserve">, </w:t>
      </w:r>
      <w:r>
        <w:rPr>
          <w:rtl w:val="true"/>
        </w:rPr>
        <w:t>תכננה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>
          <w:rtl w:val="true"/>
        </w:rPr>
        <w:t>טור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tl w:val="true"/>
        </w:rPr>
        <w:t xml:space="preserve">.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שרמוטין</w:t>
      </w:r>
      <w:r>
        <w:rPr>
          <w:rtl w:val="true"/>
        </w:rPr>
        <w:t xml:space="preserve">",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יתקפו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ותתרחב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9.8.94</w:t>
      </w:r>
      <w:r>
        <w:rPr>
          <w:rFonts w:cs="Calibri" w:ascii="Calibri" w:hAnsi="Calibri"/>
          <w:rtl w:val="true"/>
          <w:lang w:val="en-US" w:eastAsia="en-US"/>
        </w:rPr>
        <w:t>,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מתגורר בבית הוריו בשכונת 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טור</w:t>
      </w:r>
      <w:r>
        <w:rPr>
          <w:rFonts w:ascii="Calibri" w:hAnsi="Calibri" w:cs="Calibri"/>
          <w:rtl w:val="true"/>
          <w:lang w:val="en-US" w:eastAsia="en-US"/>
        </w:rPr>
        <w:t xml:space="preserve"> בירושלים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טרם מעצרו עבד כמכונאי 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מכבי האש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מתסקיר שירות המבחן</w:t>
      </w:r>
      <w:r>
        <w:rPr>
          <w:rFonts w:cs="Calibri" w:ascii="Calibri" w:hAnsi="Calibri"/>
          <w:b/>
          <w:bCs/>
          <w:rtl w:val="true"/>
          <w:lang w:val="en-US" w:eastAsia="en-US"/>
        </w:rPr>
        <w:t>,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עולה כי הנאשם דווח על בריאות נפשית ופיזית תקינה ושלל שימוש בחומרים ממכרים או התמכרות אחרת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מכחיש את המיוחס לו ואינו נוטל אחריות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שירות המבחן התרשם מניהול אורח חיים נורמטיבי ומיכולות תפקודיות וקוגניטיביות תקינות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 בצדן נטיות אימפולסיביות ופעולה מתוך תמריץ רגעי ללא שיקול דעת מקדים וללא יכולת לבחון באופן בוגר ואחראי את תוצאות המעשה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להערכת קצין 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פעל מתוך רצון לרצות את סביבתו החברתית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 התרשם כי הנאשם פועל מתוך תחושת ניכור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קורבנות ועמדות אנטי ממסדיות העלולות להגביר את הסיכון להתנהגות מפרת חוק ובאופן המכרסם ביכולתו לגלות אמפתיה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לא הביע נזקקות טיפולית ולא גילה ולו מודעות ראשונית לכשליו ההתנהגותיים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הסבירות להישנות התנהגות מפרת חוק הינה בינונית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גבוהה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בנסיבות 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נמנע שירות המבחן מהמלצה טיפולית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26.12.92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ומריחואנה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שוטטות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,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, </w:t>
      </w:r>
      <w:r>
        <w:rPr>
          <w:rtl w:val="true"/>
        </w:rPr>
        <w:t>ומדפוסים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ותוקפנית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b/>
          <w:bCs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יליד </w:t>
      </w:r>
      <w:r>
        <w:rPr>
          <w:rFonts w:cs="Calibri" w:ascii="Calibri" w:hAnsi="Calibri"/>
          <w:lang w:val="en-US" w:eastAsia="en-US"/>
        </w:rPr>
        <w:t>7.2.87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תושב שכונת אבו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טור בירושלים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לחובתו הרשעה בעבירת שוד משנת </w:t>
      </w:r>
      <w:r>
        <w:rPr>
          <w:rFonts w:cs="Calibri" w:ascii="Calibri" w:hAnsi="Calibri"/>
          <w:lang w:val="en-US" w:eastAsia="en-US"/>
        </w:rPr>
        <w:t>2006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בגינה ריצה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 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start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המאשימה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 כי הנאשמים הורשעו בעבירות נגד בטחון המדינה שתכליתן איננה להפיק רווח אישי כי אם לחתור תחת יסודות 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וחברה מתוקנת אינה יכולה להסכין למעשים אלו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המחוקק העמיד עונש מיתה בצדן של העבירות וראה בהתארגנות של מחבלים קשירת קשר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חומרת המעשים והמניע האידיאולוגי שביסודן מחייבים ליתן בכורה לשיקולי ההרתעה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היחיד והרבים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הענישה הנוהגת מחמירה בעבירות ביטחוניות בשים לב למניע האידיאולוגי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פוטנציאל הנזק העצום והרציבידיזם שמעורבים בפעילות טרור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תושבותם של הנאשמים במזרח ירושלים רק מעצימה את אלמנט הבגידה הטמון במעשיהם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הוצגה פסיקה בתמיכה למדיניות 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הטרור הפך מכת מדינה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המצב השורר ברחובות ורוח התקופה מחייבים החמרה בענישה בעבירות אידיאולוגיות</w:t>
      </w:r>
      <w:r>
        <w:rPr>
          <w:rFonts w:cs="Calibri" w:ascii="Calibri" w:hAnsi="Calibri"/>
          <w:rtl w:val="true"/>
          <w:lang w:val="en-US" w:eastAsia="en-US"/>
        </w:rPr>
        <w:t xml:space="preserve">.   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בעניינו של נאשם </w:t>
      </w:r>
      <w:r>
        <w:rPr>
          <w:rFonts w:cs="Calibri" w:ascii="Calibri" w:hAnsi="Calibri"/>
          <w:b/>
          <w:bCs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הנאשם קשר קשר לכיבוש הר הבית תוך שימוש בנשק קר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כן יצא לשטח בכוונה לחטוף כלי נשק מאנשי כוחות 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מתחם הענישה ההולם את מכלול מעשיו הינו </w:t>
      </w: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 -</w:t>
      </w: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פעל ממניעים אידיאולוגיים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 כל רקע של נסיבות אישיות שיכול לתת אמתלה למעשיו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אינו לוקח אחריות על מעשיו ואין בליבו חרטה כפי שעולה מתסקיר שירות המבחן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 לחובתו עבר פלילי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בנסיבות העניין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עתרה המאשימה לגזור את עונשו בשליש העליון של מתחם 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בעניינו של נאשם </w:t>
      </w:r>
      <w:r>
        <w:rPr>
          <w:rFonts w:cs="Calibri" w:ascii="Calibri" w:hAnsi="Calibri"/>
          <w:b/>
          <w:bCs/>
          <w:lang w:val="en-US" w:eastAsia="en-US"/>
        </w:rPr>
        <w:t>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אדם 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פעל ממניע אידיאולוגי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בעל נטייה לאלימות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 נסיבות אישיות שיש בהן להסביר 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 לו הכל בחייו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מכחיש 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אינו נוטל אחריות ואינו מגלה חרטה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שירות המבחן התרשם מרמת מסוכנות גבוהה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התסקיר שלילי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מניע אידיאולוגי מגביר את הסיכון לעבריינות חוזרת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 לנאשם רישום פלילי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מעשיו של הנאשם חמורים ועלולים היו להבעיר את כל מדינת 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התכנית הייתה לכבוש את הר הבית ולפגוע ביהודים ובאנשי כוחות הביטחון בהר הבית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הימים האחרונים ממחישים את משמעותו העדינה והשברירית של הסטטוס קוו בהר הבית ומכאן החומרה המיוחדת הטמונה בתכנית העבריינית של 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ביחד עם שלושה 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כולם חמושים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העלו יהודי לרכבם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האירוע אמנם הסתיים ללא נזק אך בשבריר של רגע יכול היה האירוע להסתיים אחרת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 בגיוס חברי החוליה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ניסה לחטוף נשק מחייל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ביצע מספר אימוני ירי בקלנדיה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אינו דומה אדם שהתאמן בירי לאדם שלא התאמן בירי בבואו לבצע פיגוע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הכשיר עצמו לפעולת הטרור והעמיק סיכוי לרצח ולפגע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החוליה לא נעצרה בשלב קשירת הקשר והתכנון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 אם לאחר שהחזיקו נשק ומטעני חבלה וביצעו צעדים אופרטיביים משמעותיים כמו אימוני ירי וניסיונות 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מתחם ענישה במצרף העבירות וחומרתן עומד בעניינו של 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על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בנסיבות 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עתרה המאשימה למקם את העונש ההולם מעל מחצית המתחם ולהשית עליו למצער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בעניינו של נאשם </w:t>
      </w:r>
      <w:r>
        <w:rPr>
          <w:rFonts w:cs="Calibri" w:ascii="Calibri" w:hAnsi="Calibri"/>
          <w:b/>
          <w:bCs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הנאשם הצטרף לקשר בשלב מאוחר 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כן ביצע ביחד עם האחרים ניסיון לחטוף כלי נשק מאנשי כוחות 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מתחם הענישה הראוי בנסיבות ביצוע העבירות הינו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הודה במעשיו וניהל הליך רק בשאלה משפטית תחומה בסוגיית עבירת השוד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לזקוף התנהלותו לזכותו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במציאות הביטחונית של ימינו יש במגוריו של הנאשם במזרח ירושלים כדי להחמיר בענישתו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מבוגר מיתר הנאשמים בתיק ולחובתו הרשעה בעבירת שוד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בגינה ריצה עונש מאסר מאחורי סורג ובריח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 הוגש תסקיר בעניינו ואין נסיבות אישיות שיעמדו לזכותו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לא רעב ללחם או נדחק לביצוע המעשים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בנסיבות 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עתרה המאשימה להטיל על הנאשם עונש בשליש התחתון של המתחם</w:t>
      </w:r>
      <w:r>
        <w:rPr>
          <w:rFonts w:cs="Calibri" w:ascii="Calibri" w:hAnsi="Calibri"/>
          <w:rtl w:val="true"/>
          <w:lang w:val="en-US" w:eastAsia="en-US"/>
        </w:rPr>
        <w:t xml:space="preserve">.  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 על חלקו של הנאשם בביצוע העבירות אשר התמצה בפגישה אחת בלבד בתוך הרכב בה נטוותה התכנית לביצוע פיגוע וכן בניסיון לחטוף כלי 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הודגש כי הנאשם לא השתתף ביתר פגישות התכנון של החוליה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התקשרותו עם חברי החוליה השתרעה על פני ימים ספורים בלבד והוא לא נטל חלק בפעולות נוספות שבוצעו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בכך יש להצביע על חרטה וחזרה למוטב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בעבירות של סיוע לאויב במלחמה התוו בתי המשפט מתחם ענישה של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 בנסיבות ביצוע 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בענייננו מדובר בפעילות תכנונית בלבד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 יצאה לפועל ולא נגרם נזק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בית המשפט בהרכב זה גזר על נאשם בנסיבות דומות עונש של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חודשי מאסר בפועל בתיק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8065/07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ללא עבר פלילי וניהל אורח חיים תקין וסייע לאביו בפרנסת המשפחה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חרף האמור בתסקיר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לא נשאל על ידי קצין המבחן האם נוטל אחריות על מעשיו או מתחרט וכעת מוכן הנאשם לעמוד לפני בית המשפט ולהביע חרטה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ההגנה עתרה למתחם ענישה של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-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 וטענה כי העונש ההולם מצוי באמצע המתחם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כ נאשם </w:t>
      </w:r>
      <w:r>
        <w:rPr>
          <w:rFonts w:cs="Calibri" w:ascii="Calibri" w:hAnsi="Calibri"/>
          <w:b/>
          <w:bCs/>
          <w:lang w:val="en-US" w:eastAsia="en-US"/>
        </w:rPr>
        <w:t>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 כי הנאשם 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זו מעידתו הראשונה בפלילים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בעל רקע משפחתי ואישי קשה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נטל עליו את האחריות לאֶחַיו עם מותה של אמו ובמיוחד לאחר שאביו נישא לאשה אחרת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עבד למחיית משפחתו בשעות הלילה במאפיית אנג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מצבו התדרדר לאחר שאחיו החל לצרוך סמים ואלכוהול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תקופת מעורבותו קצרה מאוד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במשך חודש וחצי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כפי שעולה מהעדויות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נטל חלק בפעילות תחת השפעת סמים ואלכוהול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 פעל מתוך מחשבה עויינת למדינת ישראל אלא נגרר אחר אחרים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לא היה מהוגי רעיון הקמת החוליה וגם לא מהראשונים להצטרף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תרומתו לא הייתה משמעותית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לא היה מעורב ברכישת האמל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 ואף לא בא בסוד הפעילות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בתי המשפט נהגו לאבחן כל נאשם על פי חלקו בשותפות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ניסיונות ההתקשרות עם ארגוני הטרור לא צלחו ועל כן לא ניתן היה להוציא לפועל את תכניותיו הצבאיות של נור חמדאן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כמו גיוס </w:t>
      </w:r>
      <w:r>
        <w:rPr>
          <w:rFonts w:cs="Calibri" w:ascii="Calibri" w:hAnsi="Calibri"/>
          <w:lang w:val="en-US" w:eastAsia="en-US"/>
        </w:rPr>
        <w:t>300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אנשים לצורך כיבוש העיר העתיקה וזריקת רימוני יד לעבר יהודים המבקרים במסגד אל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אקצה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יש לבחון את מעשי הנאשם ופוטנציאל הפגיעה הטמון בהם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ממכלול העבירות בהן הורשע 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רק שני מעשים כללו פוטנציאל פגיעה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חטיפת היהודי והעלאתו לרכב וניסיון החטיפה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באירוע 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התכנית הייתה לאסוף יהודי ברכב לצורך חטיפת נשקו ורציחתו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וחבריו ראו שהיהודי אינו נושא נשק ולכן החליטו לשחררו ונמנעו מרציחתו על אף שלא הייתה כל מניעה להשלים את התכנית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יש ליתן משקל לחרטתם בגינה לא השלימו את 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באירוע השני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למחרת חטיפתו ושחרורו של היהודי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וחבריו נסעו בשני כלי רכב וניסו לאתר יהודי נושא נשק אך לא הסתייע בידם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שני אירועים אלו מהווים את ליבתו של כתב האישום ומהם יש לגזור את עונשו של 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יתר המעשים המיוחסים לנאשם התאפיינו בחוסר תכנון וחלקו של הנאשם בהם היה מזערי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 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 ליתן להם משקל משמעותי בגזירת דינו של 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ההגנה טענה כי בנסיבות ביצוע העבירה ובהתחשב במדיניות הענישה יש להשית על הנאשם עונש שלא יעלה על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והפנתה לפסיקה בתמיכה לכך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נטען למתחם ענישה של </w:t>
      </w: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 וכי יש למקם את העונש במחציתו הראשונה בהתחשב בנסיבותיו האישיות ובביצוע מעשיו תחת השפעת סמים ואלכוהול במצב של מודעות מטושטשת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כ נאשם </w:t>
      </w:r>
      <w:r>
        <w:rPr>
          <w:rFonts w:cs="Calibri" w:ascii="Calibri" w:hAnsi="Calibri"/>
          <w:b/>
          <w:bCs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 כי הנאשם הודה במעשיו והורשע על יסוד הודאתו ללא כל תימוך ראייתי 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ללמדך על היעדר כוונה לפגוע בביטחון מדינת 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הצטרף להתארגנות בשלב מתקדם על רקע הפניה אליו וממניע של בצע כסף ללא כל אלמנט אידיאולוגי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מה גם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לא הפגין רצינות במעשיו ולא השלים את ביצוע 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 יצא לתור אחרי חייל על מנת לחטוף נשקו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 לאחר שהבחין בחיילים שב על עקבותיו ולא ביצע זממו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הורשע על יסוד מחשבה פלילית שנלווה לה צעד ראשוני בתהליך הביצוע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בנסיבות אלו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 היה במעשיו כדי לסכן את ביטחון המדינה וכל שכן לא נגרם בעטיים נזק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מעבר 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בהתנהלותו כדי להצביע על הפנמה וחרטה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לא היה חלק דומיננטי ומרכזי בחוליה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נסיבות ביצוע העבירה אינן חמורות ועל כן לא ניתן ללמוד ממדיניות הענישה בעבירות כגון דא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ההגנה טענה למתחם ענישה של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 הודה בהזדמנות הראשונה והביע חרטה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בכך חסך גם מזמנו של בית המשפט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בשנת </w:t>
      </w:r>
      <w:r>
        <w:rPr>
          <w:rFonts w:cs="Calibri" w:ascii="Calibri" w:hAnsi="Calibri"/>
          <w:lang w:val="en-US" w:eastAsia="en-US"/>
        </w:rPr>
        <w:t>2006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אכן הורשע ונדון למאסר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 מאז נישא וניהל אורח חיים נורמטיבי ופרודוקטיבי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 מעצרו נולד בנו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הנאשם עצור מיום </w:t>
      </w:r>
      <w:r>
        <w:rPr>
          <w:rFonts w:cs="Calibri" w:ascii="Calibri" w:hAnsi="Calibri"/>
          <w:lang w:val="en-US" w:eastAsia="en-US"/>
        </w:rPr>
        <w:t>20.4.13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ונטען כי על אף הודאתו וניהול הגנתו ביעילות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משפטו התארך שלא באשמתו ועד היום הינו שוהה במעצר מאחורי סורג ובריח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בדבריו לפנינו הביע רצון לשוב לחיים נורמליים והוסיף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אם עשיתי משהו אני מצטער</w:t>
      </w:r>
      <w:r>
        <w:rPr>
          <w:rFonts w:cs="Calibri" w:ascii="Calibri" w:hAnsi="Calibri"/>
          <w:rtl w:val="true"/>
          <w:lang w:val="en-US" w:eastAsia="en-US"/>
        </w:rPr>
        <w:t xml:space="preserve">". 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b/>
          <w:bCs/>
          <w:lang w:val="en-US" w:eastAsia="en-US"/>
        </w:rPr>
        <w:t>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בדבריו לפנינו ביקש לחזור לחיק משפחתו ולחיות חיים טובים וישרים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3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בדבריו לפנינו הדגיש שלא הייתה לו כוונה לפגוע בביטחון מדינת ישראל וביקש לשוב לרעייתו ובנו ולהקים משפחה נורמלית 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אינשאללה יהיה שלום בעולם</w:t>
      </w:r>
      <w:r>
        <w:rPr>
          <w:rFonts w:cs="Calibri" w:ascii="Calibri" w:hAnsi="Calibri"/>
          <w:rtl w:val="true"/>
          <w:lang w:val="en-US" w:eastAsia="en-US"/>
        </w:rPr>
        <w:t>".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11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מעשי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בערכים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המוגנים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ריבוניות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וביטחונה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אזרחי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והתנהלות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נשבעו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אופרטיביים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פעולותיה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tl w:val="true"/>
        </w:rPr>
        <w:t xml:space="preserve">, </w:t>
      </w:r>
      <w:r>
        <w:rPr>
          <w:rtl w:val="true"/>
        </w:rPr>
        <w:t>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tl w:val="true"/>
        </w:rPr>
        <w:t xml:space="preserve">-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- </w:t>
      </w:r>
      <w:r>
        <w:rPr>
          <w:rtl w:val="true"/>
        </w:rPr>
        <w:t>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2479/14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25.5.15</w:t>
      </w:r>
      <w:r>
        <w:rPr>
          <w:rtl w:val="true"/>
        </w:rPr>
        <w:t xml:space="preserve">), </w:t>
      </w:r>
      <w:r>
        <w:rPr>
          <w:rtl w:val="true"/>
        </w:rPr>
        <w:t>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להבעיר</w:t>
      </w:r>
      <w:r>
        <w:rPr>
          <w:rtl w:val="true"/>
        </w:rPr>
        <w:t xml:space="preserve">, </w:t>
      </w:r>
      <w:r>
        <w:rPr>
          <w:rtl w:val="true"/>
        </w:rPr>
        <w:t>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" </w:t>
      </w:r>
      <w:r>
        <w:rPr>
          <w:rtl w:val="true"/>
        </w:rPr>
        <w:t>ולגרור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26637-09-13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רומאנה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/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</w:rPr>
          <w:t>1319/13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אסר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תכניתו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-</w:t>
      </w:r>
      <w:r>
        <w:rPr>
          <w:rtl w:val="true"/>
        </w:rPr>
        <w:t xml:space="preserve"> 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tl w:val="true"/>
        </w:rPr>
        <w:t xml:space="preserve">,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נשקם</w:t>
      </w:r>
      <w:r>
        <w:rPr>
          <w:rtl w:val="true"/>
        </w:rPr>
        <w:t xml:space="preserve">,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20-10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אישיות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בתוך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מ</w:t>
      </w:r>
      <w:r>
        <w:rPr>
          <w:rFonts w:ascii="Calibri" w:hAnsi="Calibri" w:cs="Calibri"/>
          <w:rtl w:val="true"/>
          <w:lang w:val="en-US" w:eastAsia="en-US"/>
        </w:rPr>
        <w:t>מניע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אידיאולוגי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חרטתו אינה חרטה ומלשונו בבית המשפט ניכר כי אינו מוצא פסול במעשיו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 ממניע אידאולוגי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שירות המבחן התרשם מסיכון גבוה להישנות 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 נטל אחריות על מעשיו ולא הביע חרטה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יחד עם 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גילו 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 עבר פלילי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נסיבותיו האישיות אינן פשוטות והוא פעל לעיתים תחת השפעת אלכוהול וסמים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העובדה כי הנאשם ושותפיו בחרו לשחרר את היהודי שכבר ישב ברכבם ללא פגע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תעמוד לימינו בגזר הדין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 במעשיו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קיצר ההליך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הביע חרטה ולא הוכח מניע אידיאולוגי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עברו הפלילי אינו מכביד ואינו נעוץ בעבירות 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 מעשיו חוזרים על עצמם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נאשם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נשוי ואב לתינוק רך בימים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יחד עם 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ידם של שיקולי הגמול וההרתעה על העליונה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צידוק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למעשי</w:t>
      </w:r>
      <w:r>
        <w:rPr>
          <w:rFonts w:ascii="Calibri" w:hAnsi="Calibri" w:cs="Calibri"/>
          <w:rtl w:val="true"/>
          <w:lang w:val="en-US" w:eastAsia="en-US"/>
        </w:rPr>
        <w:t xml:space="preserve"> 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וייראו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גל הטרור השוצף ופוקד את מדינת ישראל בימים אלו מעלה את הצורך לנהוג ביד רמה וקשה בכל המבקש לפגוע בביטחון הציבור והמדינה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כל שכן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 מבקש לפגוע באיזון הרגיש והשברירי בהר הבית ובכך להצית מוקדי איבה נוספים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יש להשיב את השקט והביטחון לרחובות מדינתו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20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בצירוף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אנו גוזרים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הבאים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480" w:before="0" w:after="0"/>
        <w:ind w:start="144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cs="Calibri" w:ascii="Calibri" w:hAnsi="Calibri"/>
          <w:lang w:val="en-US" w:eastAsia="en-US"/>
        </w:rPr>
        <w:t>4.5</w:t>
      </w:r>
      <w:r>
        <w:rPr>
          <w:rFonts w:cs="Calibri" w:ascii="Calibri" w:hAnsi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שתחילתם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20.4.13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144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ירצ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ascii="Calibri" w:hAnsi="Calibri" w:cs="Calibri"/>
          <w:rtl w:val="true"/>
          <w:lang w:val="en-US" w:eastAsia="en-US"/>
        </w:rPr>
        <w:t xml:space="preserve">יום </w:t>
      </w:r>
      <w:r>
        <w:rPr>
          <w:rFonts w:ascii="Calibri" w:hAnsi="Calibri" w:cs="Calibri"/>
          <w:rtl w:val="true"/>
          <w:lang w:val="en-US" w:eastAsia="en-US"/>
        </w:rPr>
        <w:t>שחרור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08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48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לגזור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480" w:before="0" w:after="0"/>
        <w:ind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שתחילתו ביום מעצרו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17.4.13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 w:before="0" w:after="0"/>
        <w:ind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ascii="Arial" w:hAnsi="Arial" w:cs="Arial"/>
          <w:rtl w:val="true"/>
        </w:rPr>
        <w:t>שנתיים</w:t>
      </w:r>
      <w:r>
        <w:rPr>
          <w:rFonts w:ascii="Arial" w:hAnsi="Arial" w:cs="Arial"/>
          <w:rtl w:val="true"/>
        </w:rPr>
        <w:t xml:space="preserve"> אותו יירצה אם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נגד 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לגזור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480" w:before="0" w:after="0"/>
        <w:ind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שתחילתו ביום מעצרו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22.5.13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 w:before="0" w:after="0"/>
        <w:ind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ascii="Arial" w:hAnsi="Arial" w:cs="Arial"/>
          <w:rtl w:val="true"/>
        </w:rPr>
        <w:t>שנתיים</w:t>
      </w:r>
      <w:r>
        <w:rPr>
          <w:rFonts w:ascii="Arial" w:hAnsi="Arial" w:cs="Arial"/>
          <w:rtl w:val="true"/>
        </w:rPr>
        <w:t xml:space="preserve"> אותו יירצה אם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נגד 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לבית המשפט העליון בתוך </w:t>
      </w:r>
      <w:r>
        <w:rPr>
          <w:rFonts w:cs="Calibri" w:ascii="Calibri" w:hAnsi="Calibri"/>
          <w:b/>
          <w:bCs/>
          <w:lang w:val="en-US" w:eastAsia="en-US"/>
        </w:rPr>
        <w:t>45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בכסלו התשע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בנובמבר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7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14"/>
        <w:gridCol w:w="239"/>
        <w:gridCol w:w="2461"/>
        <w:gridCol w:w="239"/>
        <w:gridCol w:w="2510"/>
      </w:tblGrid>
      <w:tr>
        <w:trPr>
          <w:trHeight w:val="1438" w:hRule="atLeast"/>
        </w:trPr>
        <w:tc>
          <w:tcPr>
            <w:tcW w:w="21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11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bookmarkStart w:id="10" w:name="LastJudge"/>
            <w:bookmarkEnd w:id="10"/>
            <w:r>
              <w:rPr>
                <w:b/>
                <w:b/>
                <w:bCs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צבן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רפי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כרמל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51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פרידמן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פלדמן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47805-04-13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שאער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WW8Num5z0">
    <w:name w:val="WW8Num5z0"/>
    <w:qFormat/>
    <w:rPr>
      <w:rFonts w:cs="Times New Roman"/>
      <w:b w:val="false"/>
      <w:bCs w:val="false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6"/>
    </w:rPr>
  </w:style>
  <w:style w:type="character" w:styleId="PlaceholderText">
    <w:name w:val="Placeholder Text"/>
    <w:qFormat/>
    <w:rPr>
      <w:color w:val="808080"/>
    </w:rPr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CharChar1">
    <w:name w:val=" Char Char1"/>
    <w:qFormat/>
    <w:rPr>
      <w:rFonts w:cs="David"/>
      <w:sz w:val="24"/>
      <w:szCs w:val="24"/>
      <w:lang w:val="en-US" w:eastAsia="en-IL" w:bidi="he-IL"/>
    </w:rPr>
  </w:style>
  <w:style w:type="character" w:styleId="CharChar2">
    <w:name w:val=" Char Char2"/>
    <w:qFormat/>
    <w:rPr>
      <w:rFonts w:cs="David"/>
      <w:b/>
      <w:bCs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92" TargetMode="External"/><Relationship Id="rId5" Type="http://schemas.openxmlformats.org/officeDocument/2006/relationships/hyperlink" Target="http://www.nevo.co.il/law/70301/99" TargetMode="External"/><Relationship Id="rId6" Type="http://schemas.openxmlformats.org/officeDocument/2006/relationships/hyperlink" Target="http://www.nevo.co.il/law/70301/143.a.2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05" TargetMode="External"/><Relationship Id="rId10" Type="http://schemas.openxmlformats.org/officeDocument/2006/relationships/hyperlink" Target="http://www.nevo.co.il/law/70301/372" TargetMode="External"/><Relationship Id="rId11" Type="http://schemas.openxmlformats.org/officeDocument/2006/relationships/hyperlink" Target="http://www.nevo.co.il/law/70301/402.b.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92" TargetMode="External"/><Relationship Id="rId16" Type="http://schemas.openxmlformats.org/officeDocument/2006/relationships/hyperlink" Target="http://www.nevo.co.il/law/70301/99" TargetMode="External"/><Relationship Id="rId17" Type="http://schemas.openxmlformats.org/officeDocument/2006/relationships/hyperlink" Target="http://www.nevo.co.il/law/70301/143.a.2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305" TargetMode="External"/><Relationship Id="rId21" Type="http://schemas.openxmlformats.org/officeDocument/2006/relationships/hyperlink" Target="http://www.nevo.co.il/law/70301/372" TargetMode="External"/><Relationship Id="rId22" Type="http://schemas.openxmlformats.org/officeDocument/2006/relationships/hyperlink" Target="http://www.nevo.co.il/law/70301/402.b.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92;9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2.b.;25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305" TargetMode="External"/><Relationship Id="rId29" Type="http://schemas.openxmlformats.org/officeDocument/2006/relationships/hyperlink" Target="http://www.nevo.co.il/law/70301/372" TargetMode="External"/><Relationship Id="rId30" Type="http://schemas.openxmlformats.org/officeDocument/2006/relationships/hyperlink" Target="http://www.nevo.co.il/law/70301/372;25" TargetMode="External"/><Relationship Id="rId31" Type="http://schemas.openxmlformats.org/officeDocument/2006/relationships/hyperlink" Target="http://www.nevo.co.il/law/70301/143.a.2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5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case/2109802" TargetMode="External"/><Relationship Id="rId38" Type="http://schemas.openxmlformats.org/officeDocument/2006/relationships/hyperlink" Target="http://www.nevo.co.il/law/70301/99" TargetMode="External"/><Relationship Id="rId39" Type="http://schemas.openxmlformats.org/officeDocument/2006/relationships/hyperlink" Target="http://www.nevo.co.il/case/8283505" TargetMode="External"/><Relationship Id="rId40" Type="http://schemas.openxmlformats.org/officeDocument/2006/relationships/hyperlink" Target="http://www.nevo.co.il/case/20141315" TargetMode="External"/><Relationship Id="rId41" Type="http://schemas.openxmlformats.org/officeDocument/2006/relationships/hyperlink" Target="http://www.nevo.co.il/case/13093721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2016-08-07T14:13:00Z</dcterms:created>
  <dc:creator> </dc:creator>
  <dc:description/>
  <cp:keywords/>
  <dc:language>en-IL</dc:language>
  <cp:lastModifiedBy>hofit</cp:lastModifiedBy>
  <dcterms:modified xsi:type="dcterms:W3CDTF">2016-08-07T14:13:00Z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שאער;גלאל בן כאיד קוטוב ‏;אחמד בן חגאזי בזלמית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2109802;8283505;20141315;13093721</vt:lpwstr>
  </property>
  <property fmtid="{D5CDD505-2E9C-101B-9397-08002B2CF9AE}" pid="9" name="CITY">
    <vt:lpwstr>י-ם</vt:lpwstr>
  </property>
  <property fmtid="{D5CDD505-2E9C-101B-9397-08002B2CF9AE}" pid="10" name="DATE">
    <vt:lpwstr>20151130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יעקב צבן;רפי כרמל;רבקה פרידמן פלדמן</vt:lpwstr>
  </property>
  <property fmtid="{D5CDD505-2E9C-101B-9397-08002B2CF9AE}" pid="14" name="LAWLISTTMP1">
    <vt:lpwstr>70301/025:3;092;099:2;143.a.2;144.b:2;144.b2;305;372:2;402.b;499.a.1:2</vt:lpwstr>
  </property>
  <property fmtid="{D5CDD505-2E9C-101B-9397-08002B2CF9AE}" pid="15" name="LAWYER">
    <vt:lpwstr>אורי קורב;חאג' מופי;טארק ברגות;וסים לידאווי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47805</vt:lpwstr>
  </property>
  <property fmtid="{D5CDD505-2E9C-101B-9397-08002B2CF9AE}" pid="22" name="NEWPARTB">
    <vt:lpwstr>04</vt:lpwstr>
  </property>
  <property fmtid="{D5CDD505-2E9C-101B-9397-08002B2CF9AE}" pid="23" name="NEWPARTC">
    <vt:lpwstr>13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390020151130</vt:lpwstr>
  </property>
  <property fmtid="{D5CDD505-2E9C-101B-9397-08002B2CF9AE}" pid="34" name="TYPE_N_DATE">
    <vt:lpwstr>39020151130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