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5018-08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גבארין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השופט אילן שיף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חני הורוביץ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צילה קינן 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Appellant"/>
      <w:bookmarkStart w:id="2" w:name="LastJudge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דינת ישראל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גבארין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-</w:t>
            </w:r>
            <w:r>
              <w:rPr>
                <w:rFonts w:cs="FrankRuehl"/>
                <w:rtl w:val="true"/>
              </w:rPr>
              <w:t>צילה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קינן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 xml:space="preserve">חן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 xml:space="preserve">אולמן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באמצעות הליווי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02-11-2009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תפח </w:t>
      </w:r>
      <w:r>
        <w:rPr>
          <w:rFonts w:cs="FrankRuehl" w:ascii="FrankRuehl" w:hAnsi="FrankRuehl"/>
          <w:color w:val="000000"/>
        </w:rPr>
        <w:t>5018</w:t>
      </w:r>
      <w:r>
        <w:rPr>
          <w:rFonts w:cs="FrankRuehl" w:ascii="FrankRuehl" w:hAnsi="FrankRuehl"/>
          <w:color w:val="000000"/>
          <w:rtl w:val="true"/>
        </w:rPr>
        <w:t>--</w:t>
      </w:r>
      <w:r>
        <w:rPr>
          <w:rFonts w:cs="FrankRuehl" w:ascii="FrankRuehl" w:hAnsi="FrankRuehl"/>
          <w:color w:val="000000"/>
        </w:rPr>
        <w:t>08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גבארין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שיף</w:t>
      </w:r>
      <w:r>
        <w:rPr>
          <w:rFonts w:cs="FrankRuehl" w:ascii="FrankRuehl" w:hAnsi="FrankRuehl"/>
          <w:rtl w:val="true"/>
        </w:rPr>
        <w:t xml:space="preserve">, 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נמירובסקי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שלומוביץ </w:t>
      </w:r>
      <w:bookmarkStart w:id="5" w:name="LawTable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לאחר מספר ישיבות הוכחות</w:t>
      </w:r>
      <w:r>
        <w:rPr>
          <w:rtl w:val="true"/>
        </w:rPr>
        <w:t xml:space="preserve">, </w:t>
      </w:r>
      <w:r>
        <w:rPr>
          <w:rtl w:val="true"/>
        </w:rPr>
        <w:t>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 כמפורט 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האישום הראשון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עבד אלכרים אגברייה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עבד אלכרים</w:t>
      </w:r>
      <w:r>
        <w:rPr>
          <w:rtl w:val="true"/>
        </w:rPr>
        <w:t xml:space="preserve">") </w:t>
      </w:r>
      <w:r>
        <w:rPr>
          <w:rtl w:val="true"/>
        </w:rPr>
        <w:t>וסולימאן מחאג</w:t>
      </w:r>
      <w:r>
        <w:rPr>
          <w:rtl w:val="true"/>
        </w:rPr>
        <w:t>'</w:t>
      </w:r>
      <w:r>
        <w:rPr>
          <w:rtl w:val="true"/>
        </w:rPr>
        <w:t xml:space="preserve">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סולימאן</w:t>
      </w:r>
      <w:r>
        <w:rPr>
          <w:rtl w:val="true"/>
        </w:rPr>
        <w:t xml:space="preserve">") </w:t>
      </w:r>
      <w:r>
        <w:rPr>
          <w:rtl w:val="true"/>
        </w:rPr>
        <w:t xml:space="preserve">קשרו קשר לפגוע בחוסאם אגברייה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 </w:t>
      </w:r>
      <w:r>
        <w:rPr>
          <w:rtl w:val="true"/>
        </w:rPr>
        <w:t>ובאחיו</w:t>
      </w:r>
      <w:r>
        <w:rPr>
          <w:rtl w:val="true"/>
        </w:rPr>
        <w:t xml:space="preserve">, </w:t>
      </w:r>
      <w:r>
        <w:rPr>
          <w:rtl w:val="true"/>
        </w:rPr>
        <w:t>פורסאן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בלילה שבין </w:t>
      </w:r>
      <w:r>
        <w:rPr/>
        <w:t>10/2/08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11/2/08</w:t>
      </w:r>
      <w:r>
        <w:rPr>
          <w:rtl w:val="true"/>
        </w:rPr>
        <w:t xml:space="preserve">, </w:t>
      </w:r>
      <w:r>
        <w:rPr>
          <w:rtl w:val="true"/>
        </w:rPr>
        <w:t xml:space="preserve">גנבו הנאשם ועבד אלכרים רכב מסוג </w:t>
      </w:r>
      <w:r>
        <w:rPr>
          <w:rtl w:val="true"/>
        </w:rPr>
        <w:t>"</w:t>
      </w:r>
      <w:r>
        <w:rPr>
          <w:rtl w:val="true"/>
        </w:rPr>
        <w:t>וולבו</w:t>
      </w:r>
      <w:r>
        <w:rPr>
          <w:rtl w:val="true"/>
        </w:rPr>
        <w:t xml:space="preserve">", </w:t>
      </w:r>
      <w:r>
        <w:rPr>
          <w:rtl w:val="true"/>
        </w:rPr>
        <w:t xml:space="preserve">השייך למחמד בן נסרי אגברייה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באמצעות מפתח הרכב</w:t>
      </w:r>
      <w:r>
        <w:rPr>
          <w:rtl w:val="true"/>
        </w:rPr>
        <w:t xml:space="preserve">, </w:t>
      </w:r>
      <w:r>
        <w:rPr>
          <w:rtl w:val="true"/>
        </w:rPr>
        <w:t>אותו קיבל הנאשם מאחר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בתאריך </w:t>
      </w:r>
      <w:r>
        <w:rPr/>
        <w:t>11/2/08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הגיעו הנאשם</w:t>
      </w:r>
      <w:r>
        <w:rPr>
          <w:rtl w:val="true"/>
        </w:rPr>
        <w:t xml:space="preserve">, </w:t>
      </w:r>
      <w:r>
        <w:rPr>
          <w:rtl w:val="true"/>
        </w:rPr>
        <w:t>עבד אלכרים וסולימאן ברכב</w:t>
      </w:r>
      <w:r>
        <w:rPr>
          <w:rtl w:val="true"/>
        </w:rPr>
        <w:t xml:space="preserve">, </w:t>
      </w:r>
      <w:r>
        <w:rPr>
          <w:rtl w:val="true"/>
        </w:rPr>
        <w:t>בו נהג הנאשם</w:t>
      </w:r>
      <w:r>
        <w:rPr>
          <w:rtl w:val="true"/>
        </w:rPr>
        <w:t xml:space="preserve">, </w:t>
      </w:r>
      <w:r>
        <w:rPr>
          <w:rtl w:val="true"/>
        </w:rPr>
        <w:t xml:space="preserve">אל מוסך סעדי דעדוש </w:t>
      </w:r>
      <w:r>
        <w:rPr>
          <w:rtl w:val="true"/>
        </w:rPr>
        <w:t>(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) </w:t>
      </w:r>
      <w:r>
        <w:rPr>
          <w:rtl w:val="true"/>
        </w:rPr>
        <w:t>באום אל פחם</w:t>
      </w:r>
      <w:r>
        <w:rPr>
          <w:rtl w:val="true"/>
        </w:rPr>
        <w:t xml:space="preserve">, </w:t>
      </w:r>
      <w:r>
        <w:rPr>
          <w:rtl w:val="true"/>
        </w:rPr>
        <w:t>כשהם רעולי פנים וכפפות על ידיהם וכשהם מצוידים בשני אקדחים אותם סיפק הנאשם</w:t>
      </w:r>
      <w:r>
        <w:rPr>
          <w:rtl w:val="true"/>
        </w:rPr>
        <w:t xml:space="preserve">. </w:t>
      </w:r>
      <w:r>
        <w:rPr>
          <w:rtl w:val="true"/>
        </w:rPr>
        <w:t>למוסך הגיעו גם המנוח ופורסאן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הנאשם עצר את הרכב סמוך למקום בו עמדו המנוח ופורסאן</w:t>
      </w:r>
      <w:r>
        <w:rPr>
          <w:rtl w:val="true"/>
        </w:rPr>
        <w:t xml:space="preserve">. </w:t>
      </w:r>
      <w:r>
        <w:rPr>
          <w:rtl w:val="true"/>
        </w:rPr>
        <w:t>עבד אלכרים וסולימאן יצאו מהרכב כשבידיהם האקדחים וירו לעבר המנוח ופורסאן מספר רב של כדורים</w:t>
      </w:r>
      <w:r>
        <w:rPr>
          <w:rtl w:val="true"/>
        </w:rPr>
        <w:t xml:space="preserve">.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מתוך הכדורים שנורו</w:t>
      </w:r>
      <w:r>
        <w:rPr>
          <w:rtl w:val="true"/>
        </w:rPr>
        <w:t xml:space="preserve">, </w:t>
      </w:r>
      <w:r>
        <w:rPr>
          <w:rtl w:val="true"/>
        </w:rPr>
        <w:t>פגעו במנוח</w:t>
      </w:r>
      <w:r>
        <w:rPr>
          <w:rtl w:val="true"/>
        </w:rPr>
        <w:t xml:space="preserve">. </w:t>
      </w:r>
      <w:r>
        <w:rPr>
          <w:rtl w:val="true"/>
        </w:rPr>
        <w:t>מותו של המנוח נגרם כתוצאה מאיבוד דם וכשל נשימתי</w:t>
      </w:r>
      <w:r>
        <w:rPr>
          <w:rtl w:val="true"/>
        </w:rPr>
        <w:t xml:space="preserve">, </w:t>
      </w:r>
      <w:r>
        <w:rPr>
          <w:rtl w:val="true"/>
        </w:rPr>
        <w:t xml:space="preserve">בעקבות נזקים חבלתיים ממעבר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הקליעים הנ</w:t>
      </w:r>
      <w:r>
        <w:rPr>
          <w:rtl w:val="true"/>
        </w:rPr>
        <w:t>"</w:t>
      </w:r>
      <w:r>
        <w:rPr>
          <w:rtl w:val="true"/>
        </w:rPr>
        <w:t>ל דרך גוו</w:t>
      </w:r>
      <w:r>
        <w:rPr>
          <w:rtl w:val="true"/>
        </w:rPr>
        <w:t xml:space="preserve">, </w:t>
      </w:r>
      <w:r>
        <w:rPr>
          <w:rtl w:val="true"/>
        </w:rPr>
        <w:t>ראשו וגפיו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כתוצאה מהירי לעברו</w:t>
      </w:r>
      <w:r>
        <w:rPr>
          <w:rtl w:val="true"/>
        </w:rPr>
        <w:t xml:space="preserve">, </w:t>
      </w:r>
      <w:r>
        <w:rPr>
          <w:rtl w:val="true"/>
        </w:rPr>
        <w:t>נפגע פורסאן בזרועו ובירכו</w:t>
      </w:r>
      <w:r>
        <w:rPr>
          <w:rtl w:val="true"/>
        </w:rPr>
        <w:t xml:space="preserve">, </w:t>
      </w:r>
      <w:r>
        <w:rPr>
          <w:rtl w:val="true"/>
        </w:rPr>
        <w:t>והובהל לבית החולים</w:t>
      </w:r>
      <w:r>
        <w:rPr>
          <w:rtl w:val="true"/>
        </w:rPr>
        <w:t xml:space="preserve">, </w:t>
      </w:r>
      <w:r>
        <w:rPr>
          <w:rtl w:val="true"/>
        </w:rPr>
        <w:t>שם נותח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לאחר הירי כמפורט לעיל</w:t>
      </w:r>
      <w:r>
        <w:rPr>
          <w:rtl w:val="true"/>
        </w:rPr>
        <w:t xml:space="preserve">, </w:t>
      </w:r>
      <w:r>
        <w:rPr>
          <w:rtl w:val="true"/>
        </w:rPr>
        <w:t>נמלטו הנאשם והאחרים ברכב</w:t>
      </w:r>
      <w:r>
        <w:rPr>
          <w:rtl w:val="true"/>
        </w:rPr>
        <w:t xml:space="preserve">. </w:t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שילח הנאשם אש במזיד ברכב</w:t>
      </w:r>
      <w:r>
        <w:rPr>
          <w:rtl w:val="true"/>
        </w:rPr>
        <w:t xml:space="preserve">, </w:t>
      </w:r>
      <w:r>
        <w:rPr>
          <w:rtl w:val="true"/>
        </w:rPr>
        <w:t>כשבתוכו כובעי הגרב והכפפות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הרשענו את הנאשם בעבירות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קשירת קשר לבצע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b/>
          <w:b/>
          <w:bCs/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גניבת רכב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 השני</w:t>
      </w:r>
      <w:r>
        <w:rPr>
          <w:rtl w:val="true"/>
        </w:rPr>
        <w:t xml:space="preserve"> עולה</w:t>
      </w:r>
      <w:r>
        <w:rPr>
          <w:rtl w:val="true"/>
        </w:rPr>
        <w:t xml:space="preserve">, </w:t>
      </w:r>
      <w:r>
        <w:rPr>
          <w:rtl w:val="true"/>
        </w:rPr>
        <w:t xml:space="preserve">כי בתאריך </w:t>
      </w:r>
      <w:r>
        <w:rPr/>
        <w:t>26/1/08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הנאשם ביחד עם אחר ברכב מסוג </w:t>
      </w:r>
      <w:r>
        <w:rPr>
          <w:rtl w:val="true"/>
        </w:rPr>
        <w:t>"</w:t>
      </w:r>
      <w:r>
        <w:rPr>
          <w:rtl w:val="true"/>
        </w:rPr>
        <w:t>מיצובישי</w:t>
      </w:r>
      <w:r>
        <w:rPr>
          <w:rtl w:val="true"/>
        </w:rPr>
        <w:t xml:space="preserve">", </w:t>
      </w:r>
      <w:r>
        <w:rPr>
          <w:rtl w:val="true"/>
        </w:rPr>
        <w:t>כשהוא רעול פנים וחמוש באקדח</w:t>
      </w:r>
      <w:r>
        <w:rPr>
          <w:rtl w:val="true"/>
        </w:rPr>
        <w:t xml:space="preserve">, </w:t>
      </w:r>
      <w:r>
        <w:rPr>
          <w:rtl w:val="true"/>
        </w:rPr>
        <w:t>עד סמוך לביתו של אחמד רמאחה</w:t>
      </w:r>
      <w:r>
        <w:rPr>
          <w:rtl w:val="true"/>
        </w:rPr>
        <w:t xml:space="preserve">. </w:t>
      </w:r>
      <w:r>
        <w:rPr>
          <w:rtl w:val="true"/>
        </w:rPr>
        <w:t>לאחר שהנאשם הבחין באחמד</w:t>
      </w:r>
      <w:r>
        <w:rPr>
          <w:rtl w:val="true"/>
        </w:rPr>
        <w:t xml:space="preserve">, </w:t>
      </w:r>
      <w:r>
        <w:rPr>
          <w:rtl w:val="true"/>
        </w:rPr>
        <w:t>הוא ירה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בכוונה להפחיד את אחמד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הרשענו את הנאשם בעבירות 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b/>
          <w:b/>
          <w:bCs/>
          <w:rtl w:val="true"/>
        </w:rPr>
        <w:t>יריות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6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הודה במסגרת הסדר 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הודיעונו</w:t>
      </w:r>
      <w:r>
        <w:rPr>
          <w:rtl w:val="true"/>
        </w:rPr>
        <w:t xml:space="preserve">, </w:t>
      </w:r>
      <w:r>
        <w:rPr>
          <w:rtl w:val="true"/>
        </w:rPr>
        <w:t>כי בהתאם להסדר הטיעון</w:t>
      </w:r>
      <w:r>
        <w:rPr>
          <w:rtl w:val="true"/>
        </w:rPr>
        <w:t xml:space="preserve">, </w:t>
      </w:r>
      <w:r>
        <w:rPr>
          <w:rtl w:val="true"/>
        </w:rPr>
        <w:t>יטענו לעונש מאסר בפועל בטווחי ענישה</w:t>
      </w:r>
      <w:r>
        <w:rPr>
          <w:rtl w:val="true"/>
        </w:rPr>
        <w:t xml:space="preserve">,  </w:t>
      </w:r>
      <w:r>
        <w:rPr>
          <w:rtl w:val="true"/>
        </w:rPr>
        <w:t xml:space="preserve">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 וכן יבקשו להשית על הנאשם מאסר 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הגיש פלט המרשם בפלילים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 פסק דין</w:t>
      </w:r>
      <w:r>
        <w:rPr>
          <w:rtl w:val="true"/>
        </w:rPr>
        <w:t xml:space="preserve">, </w:t>
      </w:r>
      <w:r>
        <w:rPr>
          <w:rtl w:val="true"/>
        </w:rPr>
        <w:t xml:space="preserve">בו הושת על הנאשם מאסר מותנה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בר הפעלה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בגין עבירה של שיבוש הליכי 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 מת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לחובת הנאשם הרשעות קודמות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בגין עבירות אלימות וסמים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הסנגוריה</w:t>
      </w:r>
      <w:r>
        <w:rPr>
          <w:rtl w:val="true"/>
        </w:rPr>
        <w:t xml:space="preserve"> הגישה לעיוננו אסופת חוות דעת המדברות בשבחו של הנאשם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כמו כן העיד לטובת הנאשם העד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בארין עבד אל חכים</w:t>
      </w:r>
      <w:r>
        <w:rPr>
          <w:rtl w:val="true"/>
        </w:rPr>
        <w:t xml:space="preserve">. </w:t>
      </w:r>
      <w:r>
        <w:rPr>
          <w:rtl w:val="true"/>
        </w:rPr>
        <w:t xml:space="preserve">העד משמש כמורה מזה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 והוא שכנו של הנאשם</w:t>
      </w:r>
      <w:r>
        <w:rPr>
          <w:rtl w:val="true"/>
        </w:rPr>
        <w:t xml:space="preserve">. </w:t>
      </w:r>
      <w:r>
        <w:rPr>
          <w:rtl w:val="true"/>
        </w:rPr>
        <w:t>הוא סיפר שהנאשם הנו אדם טוב</w:t>
      </w:r>
      <w:r>
        <w:rPr>
          <w:rtl w:val="true"/>
        </w:rPr>
        <w:t xml:space="preserve">, </w:t>
      </w:r>
      <w:r>
        <w:rPr>
          <w:rtl w:val="true"/>
        </w:rPr>
        <w:t>העוזר לזולת</w:t>
      </w:r>
      <w:r>
        <w:rPr>
          <w:rtl w:val="true"/>
        </w:rPr>
        <w:t xml:space="preserve">. </w:t>
      </w:r>
      <w:r>
        <w:rPr>
          <w:rtl w:val="true"/>
        </w:rPr>
        <w:t>הסתבכותו של הנאשם הפתיעה את סובביו</w:t>
      </w:r>
      <w:r>
        <w:rPr>
          <w:rtl w:val="true"/>
        </w:rPr>
        <w:t xml:space="preserve">, </w:t>
      </w:r>
      <w:r>
        <w:rPr>
          <w:rtl w:val="true"/>
        </w:rPr>
        <w:t>כרעם ביום בהיר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firstLine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ביקש לכבד את הסדר הטיעון</w:t>
      </w:r>
      <w:r>
        <w:rPr>
          <w:rtl w:val="true"/>
        </w:rPr>
        <w:t xml:space="preserve">. </w:t>
      </w:r>
      <w:r>
        <w:rPr>
          <w:rtl w:val="true"/>
        </w:rPr>
        <w:t xml:space="preserve">הוא ציין כי </w:t>
      </w:r>
      <w:r>
        <w:rPr>
          <w:rtl w:val="true"/>
        </w:rPr>
        <w:t>"</w:t>
      </w:r>
      <w:r>
        <w:rPr>
          <w:rtl w:val="true"/>
        </w:rPr>
        <w:t>בעייתיות ראייתית</w:t>
      </w:r>
      <w:r>
        <w:rPr>
          <w:rtl w:val="true"/>
        </w:rPr>
        <w:t xml:space="preserve">" </w:t>
      </w:r>
      <w:r>
        <w:rPr>
          <w:rtl w:val="true"/>
        </w:rPr>
        <w:t>היא שהביאה להסדר</w:t>
      </w:r>
      <w:r>
        <w:rPr>
          <w:rtl w:val="true"/>
        </w:rPr>
        <w:t xml:space="preserve">. </w:t>
      </w:r>
      <w:r>
        <w:rPr>
          <w:rtl w:val="true"/>
        </w:rPr>
        <w:t>לדעת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לנאשם אין נסיבות 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  <w:t>אליבא דהתביעה</w:t>
      </w:r>
      <w:r>
        <w:rPr>
          <w:rtl w:val="true"/>
        </w:rPr>
        <w:t xml:space="preserve">, </w:t>
      </w:r>
      <w:r>
        <w:rPr>
          <w:rtl w:val="true"/>
        </w:rPr>
        <w:t xml:space="preserve">המדובר בנסיבות שהן ברף הגבוה של עבירת ההריגה ולפיכך יש לגזור בגין עבירה זו את העונש המכסימלי הקבוע בחוק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 xml:space="preserve">לכך יש להוסיף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נוספות בגין העבירות הנוספות שביצע</w:t>
      </w:r>
      <w:r>
        <w:rPr>
          <w:rtl w:val="true"/>
        </w:rPr>
        <w:t xml:space="preserve">, </w:t>
      </w:r>
      <w:r>
        <w:rPr>
          <w:rtl w:val="true"/>
        </w:rPr>
        <w:t>לרבות בגין העבירה שבפרט האישום השני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  <w:t>התובע עמד על חלקו המשמעותי של הנאשם בביצוע העבירות שבפרט האישום הראשון והפנה לכך שהוא זה שסיפק לשותפיו את האקדחים</w:t>
      </w:r>
      <w:r>
        <w:rPr>
          <w:rtl w:val="true"/>
        </w:rPr>
        <w:t xml:space="preserve">, </w:t>
      </w:r>
      <w:r>
        <w:rPr>
          <w:rtl w:val="true"/>
        </w:rPr>
        <w:t>מהם נורו המנוח ופורסאן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  <w:t>עוד ציין התובע</w:t>
      </w:r>
      <w:r>
        <w:rPr>
          <w:rtl w:val="true"/>
        </w:rPr>
        <w:t xml:space="preserve">, </w:t>
      </w:r>
      <w:r>
        <w:rPr>
          <w:rtl w:val="true"/>
        </w:rPr>
        <w:t>את הסיכון שיצר הנאשם לאנשים אחרים</w:t>
      </w:r>
      <w:r>
        <w:rPr>
          <w:rtl w:val="true"/>
        </w:rPr>
        <w:t xml:space="preserve">, </w:t>
      </w:r>
      <w:r>
        <w:rPr>
          <w:rtl w:val="true"/>
        </w:rPr>
        <w:t>עת ביצע את העבירה נשוא פרט האישום הראשון וכי עובדות האישום השני</w:t>
      </w:r>
      <w:r>
        <w:rPr>
          <w:rtl w:val="true"/>
        </w:rPr>
        <w:t xml:space="preserve">, </w:t>
      </w:r>
      <w:r>
        <w:rPr>
          <w:rtl w:val="true"/>
        </w:rPr>
        <w:t>מלמדות כי הנאשם נהג לפתור סכסוכיו באמצעות נשק 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 לחוות הדעת 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והצביע על כך שעברו הפלילי של הנאשם מצביע על כי הוא מסוכן לציבור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  <w:t>לסיכום ביקש התובע להפעיל את המאסר המותנה הנ</w:t>
      </w:r>
      <w:r>
        <w:rPr>
          <w:rtl w:val="true"/>
        </w:rPr>
        <w:t>"</w:t>
      </w:r>
      <w:r>
        <w:rPr>
          <w:rtl w:val="true"/>
        </w:rPr>
        <w:t>ל במצטבר</w:t>
      </w:r>
      <w:r>
        <w:rPr>
          <w:rtl w:val="true"/>
        </w:rPr>
        <w:t xml:space="preserve">, </w:t>
      </w:r>
      <w:r>
        <w:rPr>
          <w:rtl w:val="true"/>
        </w:rPr>
        <w:t>כך שסה</w:t>
      </w:r>
      <w:r>
        <w:rPr>
          <w:rtl w:val="true"/>
        </w:rPr>
        <w:t>"</w:t>
      </w:r>
      <w:r>
        <w:rPr>
          <w:rtl w:val="true"/>
        </w:rPr>
        <w:t xml:space="preserve">כ יוטלו על הנאשם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עמדה על כך  שהנאשם הודה מייד במשטרה בכל מה שמיוחס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משתוקן כתב האישום</w:t>
      </w:r>
      <w:r>
        <w:rPr>
          <w:rtl w:val="true"/>
        </w:rPr>
        <w:t xml:space="preserve">, </w:t>
      </w:r>
      <w:r>
        <w:rPr>
          <w:rtl w:val="true"/>
        </w:rPr>
        <w:t>הודה במיוחס לו</w:t>
      </w:r>
      <w:r>
        <w:rPr>
          <w:rtl w:val="true"/>
        </w:rPr>
        <w:t xml:space="preserve">. </w:t>
      </w:r>
      <w:r>
        <w:rPr>
          <w:rtl w:val="true"/>
        </w:rPr>
        <w:t>הנאשם הוא זה שאפשר למשטרה לפענח את פרשת ההריגה 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הסנגוריה ציינה גם</w:t>
      </w:r>
      <w:r>
        <w:rPr>
          <w:rtl w:val="true"/>
        </w:rPr>
        <w:t xml:space="preserve">, </w:t>
      </w:r>
      <w:r>
        <w:rPr>
          <w:rtl w:val="true"/>
        </w:rPr>
        <w:t>כי בתחילת החקירה נהגה המשטרה באופן בלתי תקין</w:t>
      </w:r>
      <w:r>
        <w:rPr>
          <w:rtl w:val="true"/>
        </w:rPr>
        <w:t xml:space="preserve">, </w:t>
      </w:r>
      <w:r>
        <w:rPr>
          <w:rtl w:val="true"/>
        </w:rPr>
        <w:t>משנתנה לנאשם להבין כי אפשר שישמש  עד מדינה וביקשה ליתן לכך משקל בגזר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 ביקשה ב</w:t>
      </w:r>
      <w:r>
        <w:rPr>
          <w:rtl w:val="true"/>
        </w:rPr>
        <w:t>"</w:t>
      </w:r>
      <w:r>
        <w:rPr>
          <w:rtl w:val="true"/>
        </w:rPr>
        <w:t>כ הנאשם ליתן משקל לקולא לכך שלדעתה</w:t>
      </w:r>
      <w:r>
        <w:rPr>
          <w:rtl w:val="true"/>
        </w:rPr>
        <w:t xml:space="preserve">, </w:t>
      </w:r>
      <w:r>
        <w:rPr>
          <w:rtl w:val="true"/>
        </w:rPr>
        <w:t>חלקו של הנאשם באירוע קטן יותר מחלקם של שותפיו לביצוע העבירה</w:t>
      </w:r>
      <w:r>
        <w:rPr>
          <w:rtl w:val="true"/>
        </w:rPr>
        <w:t xml:space="preserve">, </w:t>
      </w:r>
      <w:r>
        <w:rPr>
          <w:rtl w:val="true"/>
        </w:rPr>
        <w:t>העומדים לדין בתיק המקביל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אשר לאישום שבפרט האישום השני</w:t>
      </w:r>
      <w:r>
        <w:rPr>
          <w:rtl w:val="true"/>
        </w:rPr>
        <w:t xml:space="preserve">, </w:t>
      </w:r>
      <w:r>
        <w:rPr>
          <w:rtl w:val="true"/>
        </w:rPr>
        <w:t>ציינה הסנגורית כנימוק לקולא את העובדה</w:t>
      </w:r>
      <w:r>
        <w:rPr>
          <w:rtl w:val="true"/>
        </w:rPr>
        <w:t xml:space="preserve">, </w:t>
      </w:r>
      <w:r>
        <w:rPr>
          <w:rtl w:val="true"/>
        </w:rPr>
        <w:t>שהירי בוצע כלפי גיסו של הנאשם</w:t>
      </w:r>
      <w:r>
        <w:rPr>
          <w:rtl w:val="true"/>
        </w:rPr>
        <w:t xml:space="preserve">, </w:t>
      </w:r>
      <w:r>
        <w:rPr>
          <w:rtl w:val="true"/>
        </w:rPr>
        <w:t>שהתעלל באשתו ובבתו וכי על אף שהוגשו תלונות במשטרה</w:t>
      </w:r>
      <w:r>
        <w:rPr>
          <w:rtl w:val="true"/>
        </w:rPr>
        <w:t xml:space="preserve">, </w:t>
      </w:r>
      <w:r>
        <w:rPr>
          <w:rtl w:val="true"/>
        </w:rPr>
        <w:t>האחרונה לא פעלה להרחיקו מהבית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הביאה לידיעתנו כי לנאשם הייתה </w:t>
      </w:r>
      <w:r>
        <w:rPr>
          <w:rtl w:val="true"/>
        </w:rPr>
        <w:t>"</w:t>
      </w:r>
      <w:r>
        <w:rPr>
          <w:rtl w:val="true"/>
        </w:rPr>
        <w:t>בעיית סמים</w:t>
      </w:r>
      <w:r>
        <w:rPr>
          <w:rtl w:val="true"/>
        </w:rPr>
        <w:t xml:space="preserve">", </w:t>
      </w:r>
      <w:r>
        <w:rPr>
          <w:rtl w:val="true"/>
        </w:rPr>
        <w:t>שגרמה לו להיקלע למצוקה כלכלית קשה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 ציינה הסנגורית</w:t>
      </w:r>
      <w:r>
        <w:rPr>
          <w:rtl w:val="true"/>
        </w:rPr>
        <w:t xml:space="preserve">, </w:t>
      </w:r>
      <w:r>
        <w:rPr>
          <w:rtl w:val="true"/>
        </w:rPr>
        <w:t>כי הנאשם נמצא בתנאי מעצר קשים</w:t>
      </w:r>
      <w:r>
        <w:rPr>
          <w:rtl w:val="true"/>
        </w:rPr>
        <w:t xml:space="preserve">, </w:t>
      </w:r>
      <w:r>
        <w:rPr>
          <w:rtl w:val="true"/>
        </w:rPr>
        <w:t>הכוללים בידוד</w:t>
      </w:r>
      <w:r>
        <w:rPr>
          <w:rtl w:val="true"/>
        </w:rPr>
        <w:t xml:space="preserve">, </w:t>
      </w:r>
      <w:r>
        <w:rPr>
          <w:rtl w:val="true"/>
        </w:rPr>
        <w:t>שכן הוא הוכרז כטעון הגנה</w:t>
      </w:r>
      <w:r>
        <w:rPr>
          <w:rtl w:val="true"/>
        </w:rPr>
        <w:t xml:space="preserve">, </w:t>
      </w:r>
      <w:r>
        <w:rPr>
          <w:rtl w:val="true"/>
        </w:rPr>
        <w:t>בשל העובדה שהביא לחשיפת הפרשה 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אליבא דהסנגורית</w:t>
      </w:r>
      <w:r>
        <w:rPr>
          <w:rtl w:val="true"/>
        </w:rPr>
        <w:t xml:space="preserve">, </w:t>
      </w:r>
      <w:r>
        <w:rPr>
          <w:rtl w:val="true"/>
        </w:rPr>
        <w:t>לאחר גזר הדין ייחתם הסכם סולחה בין משפחת המנוח לבין משפחת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הגישה לעיוננו אסופת פסקי דין</w:t>
      </w:r>
      <w:r>
        <w:rPr>
          <w:rtl w:val="true"/>
        </w:rPr>
        <w:t xml:space="preserve">, </w:t>
      </w:r>
      <w:r>
        <w:rPr>
          <w:rtl w:val="true"/>
        </w:rPr>
        <w:t xml:space="preserve">ביקשה לכבד את הסדר הטיעון ולהטיל על הנאשם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 מאסר בפועל וכן להפעיל את העונש המותנה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 xml:space="preserve">הנאשם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בדברו 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הביע צער על מעשיו וביקש להתחשב 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מעשיו של הנאשם נוראיים</w:t>
      </w:r>
      <w:r>
        <w:rPr>
          <w:rtl w:val="true"/>
        </w:rPr>
        <w:t xml:space="preserve">. </w:t>
      </w:r>
      <w:r>
        <w:rPr>
          <w:rtl w:val="true"/>
        </w:rPr>
        <w:t>בשתי הזדמנויות שונות החליט ל</w:t>
      </w:r>
      <w:r>
        <w:rPr>
          <w:rtl w:val="true"/>
        </w:rPr>
        <w:t>"</w:t>
      </w:r>
      <w:r>
        <w:rPr>
          <w:rtl w:val="true"/>
        </w:rPr>
        <w:t>יישב סכסוכיו</w:t>
      </w:r>
      <w:r>
        <w:rPr>
          <w:rtl w:val="true"/>
        </w:rPr>
        <w:t xml:space="preserve">" </w:t>
      </w:r>
      <w:r>
        <w:rPr>
          <w:rtl w:val="true"/>
        </w:rPr>
        <w:t>באמצעות נשק חם וההין לירות</w:t>
      </w:r>
      <w:r>
        <w:rPr>
          <w:rtl w:val="true"/>
        </w:rPr>
        <w:t xml:space="preserve">, </w:t>
      </w:r>
      <w:r>
        <w:rPr>
          <w:rtl w:val="true"/>
        </w:rPr>
        <w:t>בין בעצמו ובין באמצעות אחרים</w:t>
      </w:r>
      <w:r>
        <w:rPr>
          <w:rtl w:val="true"/>
        </w:rPr>
        <w:t xml:space="preserve">, </w:t>
      </w:r>
      <w:r>
        <w:rPr>
          <w:rtl w:val="true"/>
        </w:rPr>
        <w:t>לעברם של אנשים ובמקום בו שהו עוברי אורח אקראיים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הזלזול בחיי אדם ונטילת הסיכון של קטילתם של אנשים</w:t>
      </w:r>
      <w:r>
        <w:rPr>
          <w:rtl w:val="true"/>
        </w:rPr>
        <w:t xml:space="preserve">, </w:t>
      </w:r>
      <w:r>
        <w:rPr>
          <w:rtl w:val="true"/>
        </w:rPr>
        <w:t>הנשקפים ממעשיו הנלוזים של הנאשם</w:t>
      </w:r>
      <w:r>
        <w:rPr>
          <w:rtl w:val="true"/>
        </w:rPr>
        <w:t xml:space="preserve">, </w:t>
      </w:r>
      <w:r>
        <w:rPr>
          <w:rtl w:val="true"/>
        </w:rPr>
        <w:t>מחייבים התייחסות 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כתוצאה מהירי נשוא פרט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נהרג אדם ונפצע אדם נוסף </w:t>
      </w:r>
      <w:r>
        <w:rPr>
          <w:rtl w:val="true"/>
        </w:rPr>
        <w:t>(</w:t>
      </w:r>
      <w:r>
        <w:rPr>
          <w:rtl w:val="true"/>
        </w:rPr>
        <w:t>פורסאן</w:t>
      </w:r>
      <w:r>
        <w:rPr>
          <w:rtl w:val="true"/>
        </w:rPr>
        <w:t xml:space="preserve">). </w:t>
      </w:r>
      <w:r>
        <w:rPr>
          <w:rtl w:val="true"/>
        </w:rPr>
        <w:t>הירי במנוח ובפורסאן בוצע בטבורה של עיר ולפיכך העמיד בסכנה גם את חייהם של 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למרבה הצער נפוצים במקומותינו מעשי האלימות</w:t>
      </w:r>
      <w:r>
        <w:rPr>
          <w:rtl w:val="true"/>
        </w:rPr>
        <w:t xml:space="preserve">, </w:t>
      </w:r>
      <w:r>
        <w:rPr>
          <w:rtl w:val="true"/>
        </w:rPr>
        <w:t>תוך שימוש בנשק חם וקר ומעשים אלו גובים מחיר גבוה בדמותם של הרוגים ופצועים</w:t>
      </w:r>
      <w:r>
        <w:rPr>
          <w:rtl w:val="true"/>
        </w:rPr>
        <w:t xml:space="preserve">. </w:t>
      </w:r>
      <w:r>
        <w:rPr>
          <w:rtl w:val="true"/>
        </w:rPr>
        <w:t>ראוי אפוא לגזור בגינם עונשים מרתיעים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לנגד עינינו ראוי שתעמוד גם העובדה שהנאשם תכנן בקפידה את מעשיו נשוא פרט האישום הראשון ולצורך כך גנב רכב ואף סיפק אקדחים לשני שותפיו לעבירה</w:t>
      </w:r>
      <w:r>
        <w:rPr>
          <w:rtl w:val="true"/>
        </w:rPr>
        <w:t xml:space="preserve">. </w:t>
      </w:r>
      <w:r>
        <w:rPr>
          <w:rtl w:val="true"/>
        </w:rPr>
        <w:t>הנאשם אף הוסיף פשע על פשע</w:t>
      </w:r>
      <w:r>
        <w:rPr>
          <w:rtl w:val="true"/>
        </w:rPr>
        <w:t xml:space="preserve">, </w:t>
      </w:r>
      <w:r>
        <w:rPr>
          <w:rtl w:val="true"/>
        </w:rPr>
        <w:t>משהצית את הרכב הגנוב</w:t>
      </w:r>
      <w:r>
        <w:rPr>
          <w:rtl w:val="true"/>
        </w:rPr>
        <w:t xml:space="preserve">, </w:t>
      </w:r>
      <w:r>
        <w:rPr>
          <w:rtl w:val="true"/>
        </w:rPr>
        <w:t>על מנת להקשות על פענוח העבירות הנדונות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לחובתו של הנאשם עבר פלילי</w:t>
      </w:r>
      <w:r>
        <w:rPr>
          <w:rtl w:val="true"/>
        </w:rPr>
        <w:t xml:space="preserve">, </w:t>
      </w:r>
      <w:r>
        <w:rPr>
          <w:rtl w:val="true"/>
        </w:rPr>
        <w:t>כמפורט לעיל ונראה כי אין הוא נרתע מלשוב לסורו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בבואנו לגזור את עונשו של הנאשם</w:t>
      </w:r>
      <w:r>
        <w:rPr>
          <w:rtl w:val="true"/>
        </w:rPr>
        <w:t xml:space="preserve">, </w:t>
      </w:r>
      <w:r>
        <w:rPr>
          <w:rtl w:val="true"/>
        </w:rPr>
        <w:t>מן הראוי לזקוף לזכותו את הודייתו במשטרה וכן 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לאחר שכתב האישום תוקן</w:t>
      </w:r>
      <w:r>
        <w:rPr>
          <w:rtl w:val="true"/>
        </w:rPr>
        <w:t xml:space="preserve">. </w:t>
      </w:r>
      <w:r>
        <w:rPr>
          <w:rtl w:val="true"/>
        </w:rPr>
        <w:t>עוד נזקוף לטובתו</w:t>
      </w:r>
      <w:r>
        <w:rPr>
          <w:rtl w:val="true"/>
        </w:rPr>
        <w:t xml:space="preserve">, </w:t>
      </w:r>
      <w:r>
        <w:rPr>
          <w:rtl w:val="true"/>
        </w:rPr>
        <w:t>את חוות הדעת המעידות על קווים חיוביים באישיותו</w:t>
      </w:r>
      <w:r>
        <w:rPr>
          <w:rtl w:val="true"/>
        </w:rPr>
        <w:t xml:space="preserve">. </w:t>
      </w:r>
      <w:r>
        <w:rPr>
          <w:rtl w:val="true"/>
        </w:rPr>
        <w:t>כן נשקול לקולא את הנסיבות אשר הובאו לידיעתנו ע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בהתחשב בכל הנסיבות לקולא ולחומרא</w:t>
      </w:r>
      <w:r>
        <w:rPr>
          <w:rtl w:val="true"/>
        </w:rPr>
        <w:t xml:space="preserve">, </w:t>
      </w:r>
      <w:r>
        <w:rPr>
          <w:rtl w:val="true"/>
        </w:rPr>
        <w:t>אנו גוזרים על הנאשם בגין כל העבירות שעבר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שהיא פשע ו</w:t>
      </w:r>
      <w:r>
        <w:rPr>
          <w:rtl w:val="true"/>
        </w:rPr>
        <w:t>/</w:t>
      </w:r>
      <w:r>
        <w:rPr>
          <w:rtl w:val="true"/>
        </w:rPr>
        <w:t>או עבירה בנשק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כמו כן אנו מפעילים במצטבר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>בני הפעלה</w:t>
      </w:r>
      <w:r>
        <w:rPr>
          <w:rtl w:val="true"/>
        </w:rPr>
        <w:t xml:space="preserve">, </w:t>
      </w:r>
      <w:r>
        <w:rPr>
          <w:rtl w:val="true"/>
        </w:rPr>
        <w:t>שהוטלו עליו בתפ</w:t>
      </w:r>
      <w:r>
        <w:rPr>
          <w:rtl w:val="true"/>
        </w:rPr>
        <w:t xml:space="preserve">' </w:t>
      </w:r>
      <w:r>
        <w:rPr/>
        <w:t>2087/05</w:t>
      </w:r>
      <w:r>
        <w:rPr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 השלום בנצרת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יהא אפוא על הנאשם לרצות </w:t>
      </w:r>
      <w:r>
        <w:rPr>
          <w:u w:val="single"/>
          <w:rtl w:val="true"/>
        </w:rPr>
        <w:t xml:space="preserve">מאסר בפועל של </w:t>
      </w:r>
      <w:r>
        <w:rPr>
          <w:u w:val="single"/>
        </w:rPr>
        <w:t>26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 ו</w:t>
      </w:r>
      <w:r>
        <w:rPr>
          <w:u w:val="single"/>
          <w:rtl w:val="true"/>
        </w:rPr>
        <w:t xml:space="preserve">-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תקופת המאסר תחל מיום מעצרו</w:t>
      </w:r>
      <w:r>
        <w:rPr>
          <w:rtl w:val="true"/>
        </w:rPr>
        <w:t xml:space="preserve">- </w:t>
      </w:r>
      <w:r>
        <w:rPr/>
        <w:t>1/4/08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הודעה לנאשם זכות ערעור לבית 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ח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כסלו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25/11/2009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אילן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שיף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חני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הורוביץ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צילה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קינן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</w:tbl>
    <w:p>
      <w:pPr>
        <w:pStyle w:val="Normal"/>
        <w:spacing w:lineRule="auto" w:line="360"/>
        <w:ind w:start="312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312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312"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/Users/liorb/Downloads/study2025-p2/ME-08-5018-65.doc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5018-08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פרקליטות מחוז חיפה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גבארין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72"/>
        </w:tabs>
        <w:ind w:start="772" w:hanging="360"/>
      </w:pPr>
      <w:rPr>
        <w:szCs w:val="24"/>
        <w:iCs w:val="false"/>
        <w:bCs w:val="false"/>
        <w:rFonts w:cs="David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Cs w:val="false"/>
      <w:iCs w:val="false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a.;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4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13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.;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40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9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2016-08-15T16:48:00Z</dcterms:created>
  <dc:creator> </dc:creator>
  <dc:description/>
  <cp:keywords/>
  <dc:language>en-IL</dc:language>
  <cp:lastModifiedBy>run</cp:lastModifiedBy>
  <dcterms:modified xsi:type="dcterms:W3CDTF">2016-08-15T16:48:00Z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פרקליטות מחוז חיפה-פלילי</vt:lpwstr>
  </property>
  <property fmtid="{D5CDD505-2E9C-101B-9397-08002B2CF9AE}" pid="3" name="APPELLEE">
    <vt:lpwstr>מוחמד גבארין;-צילה קינן , שופטת</vt:lpwstr>
  </property>
  <property fmtid="{D5CDD505-2E9C-101B-9397-08002B2CF9AE}" pid="4" name="CASENOTES1">
    <vt:lpwstr>ProcID=209&amp;PartA=2087&amp;PartC=05</vt:lpwstr>
  </property>
  <property fmtid="{D5CDD505-2E9C-101B-9397-08002B2CF9AE}" pid="5" name="CITY">
    <vt:lpwstr>חי'</vt:lpwstr>
  </property>
  <property fmtid="{D5CDD505-2E9C-101B-9397-08002B2CF9AE}" pid="6" name="DATE">
    <vt:lpwstr>20091125</vt:lpwstr>
  </property>
  <property fmtid="{D5CDD505-2E9C-101B-9397-08002B2CF9AE}" pid="7" name="DELEMATA">
    <vt:lpwstr/>
  </property>
  <property fmtid="{D5CDD505-2E9C-101B-9397-08002B2CF9AE}" pid="8" name="JUDGE">
    <vt:lpwstr>אילן שיף;חני הורוביץ;צילה קינן</vt:lpwstr>
  </property>
  <property fmtid="{D5CDD505-2E9C-101B-9397-08002B2CF9AE}" pid="9" name="LAWLISTTMP1">
    <vt:lpwstr>70301/499.a.1;029:4;298;329.a.1;144.a:2;144.b:2;448;244;413b;340a;192</vt:lpwstr>
  </property>
  <property fmtid="{D5CDD505-2E9C-101B-9397-08002B2CF9AE}" pid="10" name="LAWYER">
    <vt:lpwstr>חן;אולמן</vt:lpwstr>
  </property>
  <property fmtid="{D5CDD505-2E9C-101B-9397-08002B2CF9AE}" pid="11" name="LINKK1">
    <vt:lpwstr>http://www.nevo.co.il/Psika_word/mechozi/ME-08-5018-323.doc;להכרעת-דין במחוזי (02-11-2009)#תפח 5018--08 מדינת ישראל נ' מוחמד גבארין #שופטים: א. שיף, , ח. הורוביץ, צ. קינן#עו''ד: נמירובסקי, אולמן, שלומוביץ</vt:lpwstr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5018</vt:lpwstr>
  </property>
  <property fmtid="{D5CDD505-2E9C-101B-9397-08002B2CF9AE}" pid="24" name="NEWPARTB">
    <vt:lpwstr/>
  </property>
  <property fmtid="{D5CDD505-2E9C-101B-9397-08002B2CF9AE}" pid="25" name="NEWPARTC">
    <vt:lpwstr>08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5018</vt:lpwstr>
  </property>
  <property fmtid="{D5CDD505-2E9C-101B-9397-08002B2CF9AE}" pid="32" name="PROCYEAR">
    <vt:lpwstr>08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08 5018 65 htm</vt:lpwstr>
  </property>
  <property fmtid="{D5CDD505-2E9C-101B-9397-08002B2CF9AE}" pid="35" name="TYPE">
    <vt:lpwstr>2</vt:lpwstr>
  </property>
  <property fmtid="{D5CDD505-2E9C-101B-9397-08002B2CF9AE}" pid="36" name="TYPE_ABS_DATE">
    <vt:lpwstr>390020091125</vt:lpwstr>
  </property>
  <property fmtid="{D5CDD505-2E9C-101B-9397-08002B2CF9AE}" pid="37" name="TYPE_N_DATE">
    <vt:lpwstr>39020091125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