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52360-06-20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סולטאן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כבוד השופט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עמי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קובו – 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כבוד השופט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מיכאל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קרשן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כבוד השופטת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מרב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פרקליטות מחוז מרכז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בוז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uppressLineNumbers/>
              <w:ind w:hanging="360" w:start="72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מועאסם סולטאן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ListParagraph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קורן</w:t>
            </w:r>
          </w:p>
          <w:p>
            <w:pPr>
              <w:pStyle w:val="ListParagraph"/>
              <w:numPr>
                <w:ilvl w:val="0"/>
                <w:numId w:val="1"/>
              </w:numPr>
              <w:suppressLineNumbers/>
              <w:ind w:hanging="360" w:start="72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סול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ListParagraph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איהב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השופט מיכאל קרשן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המעשים בהם הורשעו הנאשמים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מועטסם סולטאן</w:t>
      </w:r>
      <w:r>
        <w:rPr>
          <w:rFonts w:ascii="Arial" w:hAnsi="Arial" w:cs="Arial"/>
          <w:rtl w:val="true"/>
        </w:rPr>
        <w:t xml:space="preserve"> יליד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מוחמד סולטאן</w:t>
      </w:r>
      <w:r>
        <w:rPr>
          <w:rFonts w:ascii="Arial" w:hAnsi="Arial" w:cs="Arial"/>
          <w:rtl w:val="true"/>
        </w:rPr>
        <w:t xml:space="preserve"> יליד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הורשעו בהתאם להודאתם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דיוני שלא כלל הסכמה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העבירות הבאות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bookmarkStart w:id="8" w:name="ABSTRACT_START"/>
      <w:bookmarkEnd w:id="8"/>
      <w:r>
        <w:rPr>
          <w:rFonts w:ascii="Arial" w:hAnsi="Arial" w:cs="Arial"/>
          <w:u w:val="single"/>
          <w:rtl w:val="true"/>
        </w:rPr>
        <w:t>באישום הראשון</w:t>
      </w:r>
      <w:r>
        <w:rPr>
          <w:rFonts w:ascii="Arial" w:hAnsi="Arial" w:cs="Arial"/>
          <w:rtl w:val="true"/>
        </w:rPr>
        <w:t xml:space="preserve"> הורשעו שני הנאשמים בעבירות של </w:t>
      </w:r>
      <w:r>
        <w:rPr>
          <w:rFonts w:ascii="David" w:hAnsi="David"/>
          <w:b/>
          <w:b/>
          <w:bCs/>
          <w:color w:val="000000"/>
          <w:rtl w:val="true"/>
        </w:rPr>
        <w:t>חבלה בכוונה מחמירה בצוותא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החזקת נשק ותחמושת שלא כדין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ריבוי עבירות</w:t>
      </w:r>
      <w:r>
        <w:rPr>
          <w:rFonts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 xml:space="preserve">בצוותא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 xml:space="preserve">נשיאת נשק ותחמושת שלא כדין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 xml:space="preserve">שתי עבירות לנאשם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ועבירה אחת לנאשם 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 בנוסף בעבירות של</w:t>
      </w:r>
      <w:r>
        <w:rPr>
          <w:rFonts w:ascii="David" w:hAnsi="David"/>
          <w:b/>
          <w:b/>
          <w:bCs/>
          <w:color w:val="000000"/>
          <w:rtl w:val="true"/>
        </w:rPr>
        <w:t xml:space="preserve"> ירי בשטח מגורים בנסיבות מחמירות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היזק בזדון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הפרת הוראה חוקית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  <w:b/>
          <w:bCs/>
        </w:rPr>
      </w:pPr>
      <w:r>
        <w:rPr>
          <w:rFonts w:ascii="David" w:hAnsi="David"/>
          <w:color w:val="000000"/>
          <w:u w:val="single"/>
          <w:rtl w:val="true"/>
        </w:rPr>
        <w:t>באישום השני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 שני הנאשמים בעבירות של</w:t>
      </w:r>
      <w:r>
        <w:rPr>
          <w:rFonts w:ascii="David" w:hAnsi="David"/>
          <w:b/>
          <w:b/>
          <w:bCs/>
          <w:color w:val="000000"/>
          <w:rtl w:val="true"/>
        </w:rPr>
        <w:t xml:space="preserve"> נשיאת נשק ותחמושת שלא כדין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בצוותא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ירי בשטח מגורים בנסיבות מחמירות בצוותא</w:t>
      </w:r>
      <w:r>
        <w:rPr>
          <w:rFonts w:ascii="David" w:hAnsi="David"/>
          <w:color w:val="000000"/>
          <w:rtl w:val="true"/>
        </w:rPr>
        <w:t xml:space="preserve"> 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היזק בזדון בצוותא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u w:val="single"/>
          <w:rtl w:val="true"/>
        </w:rPr>
        <w:t>באישום השלישי</w:t>
      </w:r>
      <w:r>
        <w:rPr>
          <w:rFonts w:ascii="Arial" w:hAnsi="Arial" w:cs="Arial"/>
          <w:rtl w:val="true"/>
        </w:rPr>
        <w:t xml:space="preserve"> הורשעו שני הנאשמים בעבירות של </w:t>
      </w:r>
      <w:r>
        <w:rPr>
          <w:rFonts w:ascii="Arial" w:hAnsi="Arial" w:cs="Arial"/>
          <w:b/>
          <w:b/>
          <w:bCs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נשיאת נשק ותחמושת שלא כדין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ירי בשטח מגורים בנסיבות מחמירות בצוותא</w:t>
      </w:r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היזק בזדון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בנוסף בעבירה של </w:t>
      </w:r>
      <w:r>
        <w:rPr>
          <w:rFonts w:ascii="Arial" w:hAnsi="Arial" w:cs="Arial"/>
          <w:b/>
          <w:b/>
          <w:bCs/>
          <w:rtl w:val="true"/>
        </w:rPr>
        <w:t>הפרת הוראה חוקית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u w:val="single"/>
          <w:rtl w:val="true"/>
        </w:rPr>
        <w:t>באישום הרביעי</w:t>
      </w:r>
      <w:r>
        <w:rPr>
          <w:rFonts w:ascii="Arial" w:hAnsi="Arial" w:cs="Arial"/>
          <w:rtl w:val="true"/>
        </w:rPr>
        <w:t xml:space="preserve"> הורשעו שני הנאשם בעבירות של </w:t>
      </w:r>
      <w:r>
        <w:rPr>
          <w:rFonts w:ascii="Arial" w:hAnsi="Arial" w:cs="Arial"/>
          <w:b/>
          <w:b/>
          <w:bCs/>
          <w:rtl w:val="true"/>
        </w:rPr>
        <w:t>דרישת נכס באיומים ובכוח בנסיבות מחמירות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נשיאת נשק ותחמושת שלא כדין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ירי בשטח מגורים בנסיבות מחמירות בצוותא</w:t>
      </w:r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היזק בזדון בצוותא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בנוסף בעבירה של </w:t>
      </w:r>
      <w:r>
        <w:rPr>
          <w:rFonts w:ascii="Arial" w:hAnsi="Arial" w:cs="Arial"/>
          <w:b/>
          <w:b/>
          <w:bCs/>
          <w:rtl w:val="true"/>
        </w:rPr>
        <w:t>הפרת הוראה חוקית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  <w:b/>
          <w:bCs/>
        </w:rPr>
      </w:pP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צרף 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תיק תעבורה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תעבורה 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1027-05-20</w:t>
        </w:r>
      </w:hyperlink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והורשע על פי הודאתו בעבירות של</w:t>
      </w:r>
      <w:r>
        <w:rPr>
          <w:rFonts w:ascii="David" w:hAnsi="David"/>
          <w:b/>
          <w:b/>
          <w:bCs/>
          <w:color w:val="000000"/>
          <w:rtl w:val="true"/>
        </w:rPr>
        <w:t xml:space="preserve"> נהיגה בקלות ראש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נהיגה בשכרות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נהיגת נהג צעיר ללא מלווה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Miriam" w:hAnsi="Miriam" w:cs="Miriam"/>
          <w:b/>
          <w:b/>
          <w:bCs/>
          <w:color w:val="000000"/>
          <w:rtl w:val="true"/>
        </w:rPr>
        <w:t>תיק הצירוף</w:t>
      </w:r>
      <w:r>
        <w:rPr>
          <w:rFonts w:cs="David" w:ascii="David" w:hAnsi="David"/>
          <w:color w:val="000000"/>
          <w:rtl w:val="true"/>
        </w:rPr>
        <w:t>).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לפי עובדות החלק הכללי</w:t>
      </w:r>
      <w:r>
        <w:rPr>
          <w:rFonts w:ascii="Arial" w:hAnsi="Arial" w:cs="Arial"/>
          <w:rtl w:val="true"/>
        </w:rPr>
        <w:t xml:space="preserve">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הם חברים ומתגוררים בשכנות זה לזה בטירה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בתקופה הרלוונטית החזיקו הנאשמים ונשאו כלי נשק שונים ותחמושת והשתמשו בהם כחלק מפעילות עבריינית המתוארת בכתב האישום המתוקן הקשורה בסכסוך בנושא בעלות במקרקעין בין משפחת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לבין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ומשפחתו וסברת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הורה לאחרים להכותו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צוין בחלק הכללי כי בתקופה הרלבנטית ועד ליום </w:t>
      </w:r>
      <w:r>
        <w:rPr>
          <w:rFonts w:cs="Arial" w:ascii="Arial" w:hAnsi="Arial"/>
        </w:rPr>
        <w:t>3.5.2020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בתנאי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מעצר בית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מלא בביתו בטירה על פי החלטת בית המשפט לתעבורה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3.5.2020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הוסר ממנו האיזוק האלקטרוני ונקבע כי עליו לשהות במקום מעצר הבית בין השעות </w:t>
      </w:r>
      <w:r>
        <w:rPr>
          <w:rFonts w:cs="Arial" w:ascii="Arial" w:hAnsi="Arial"/>
        </w:rPr>
        <w:t>19:00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וזו ההוראה החוקית שהפר נאשם זה כמפורט בכתב האישום המתוקן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u w:val="single"/>
          <w:rtl w:val="true"/>
        </w:rPr>
        <w:t xml:space="preserve">לפי עובדות האישום הראשון </w:t>
      </w:r>
      <w:r>
        <w:rPr>
          <w:rFonts w:cs="David" w:ascii="David" w:hAnsi="David"/>
          <w:color w:val="000000"/>
          <w:u w:val="single"/>
          <w:rtl w:val="true"/>
        </w:rPr>
        <w:t>(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ירי לעבר שוטרים ולעבר ביתו של א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ביום </w:t>
      </w:r>
      <w:r>
        <w:rPr>
          <w:rFonts w:cs="David" w:ascii="David" w:hAnsi="David"/>
          <w:b/>
          <w:bCs/>
          <w:color w:val="000000"/>
          <w:u w:val="single"/>
        </w:rPr>
        <w:t>5.6.2020</w:t>
      </w:r>
      <w:r>
        <w:rPr>
          <w:rFonts w:cs="David" w:ascii="David" w:hAnsi="David"/>
          <w:color w:val="000000"/>
          <w:u w:val="single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משך תקופה של למעלה משנה </w:t>
      </w:r>
      <w:r>
        <w:rPr>
          <w:rFonts w:ascii="Arial" w:hAnsi="Arial" w:cs="Arial"/>
          <w:rtl w:val="true"/>
        </w:rPr>
        <w:t xml:space="preserve">החזיקו הנאשמים ברשותם ארבעה תתי מקלע מאולתרים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מחסניות ותחמושת תואמת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כְּלֵי הנשק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אותם הסליקו במקומות מחבוא שונים בעיר מגוריהם טירה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5.6.2020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החליט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לירות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מנת לפגוע ברכושו ולהפחידו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כך הוציא את אחד מתתי המקלע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ותחמושת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הקרלו הכסוף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ממקום המחבוא והחביאם בסמוך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באותו מועד הגיעו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ושניים נוספים אשר ברשות אחד מהם רכב מסוג ניסן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הניסן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לביתו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02:45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יצא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ברגל מביתו אל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כשהוא נושא עמו את הקרלו הכסוף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התקרב רעול פנים לעבר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סימן תנועה מגונה לעבר מצלמת האבטחה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שלף את הקרלו הכסוף וירה לפחות חמש יריות לעבר שער הברזל של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בזמן שא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שהה בבית עם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נמלט לביתו ברגל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הסליק את הקרלו הכסוף סמוך לביתו ונכנס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לשער הברזל נגרם נזק כתוצאה מהירי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בחזרתו הביתה התפאר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במעשיו לפני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והשניים הנוספים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כעס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שביצע את הירי בלעדיו ובהמשך יצאו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והשניים הנוספים ברכב הניסן אל 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כדי לבחון את תוצאות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כוח משטרה שהגיע למקום עצר אותם לביקורת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אפשר לרכב הניסן לעבור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והשניים האחרים קיללו את השוטרים ובטרם עזבו את המקום קיללו את השוטרים פעם נוספת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שחזרו לבית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החליט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לשוב לביתו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כדי לירות לעבר השוטרים ששהו באזור על מנת לגרום להם נכות או מום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החליט להצטרף אליו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יצאו מבית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הצטיידו בקרלו הכסוף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הסוו את לוחיות הרישוי ברכב הניסן ונסעו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 xml:space="preserve">כאשר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נוהג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עצרו את הרכב בסמוך למקום בו עמדו שלושה שוטרים בסמוך לרכב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תפקידם לחקור את הירי על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יצא מהניסן כשהוא נושא את הקרלו הכסוף ובמרחק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מהשוטרים בקו ירי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השוטרים גלויים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כיוון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הקרלו הכסוף לעבר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מן הקליעים פגע במדרכה הסמוכה לרכב השוטרים ונתזי הקליע פגעו בשמשת הרכב המשטרתי וקליע נוסף פגע בגג הרכב המשטרתי וגרם נזק לשורת אורות החרום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באותה עת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שנותר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התקרב בנסיעה לאחור לעבר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מנת למלטו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מחשש לחייהם התכופפו השוטרים ופתחו באש לעבר הניסן ושניים מהם החלו לרוץ לעבר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לרכב הניסן והנאשמים נמלטו 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בשעות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נמצאו הקרלו הכסוף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ושני כלי נשק נוספים מוסלקים בתוך תיק בקרבת בית הנאשמים מתחת לעץ זית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u w:val="single"/>
          <w:rtl w:val="true"/>
        </w:rPr>
        <w:t xml:space="preserve">לפי עובדות האישום השני </w:t>
      </w:r>
      <w:r>
        <w:rPr>
          <w:rFonts w:cs="David" w:ascii="David" w:hAnsi="David"/>
          <w:color w:val="000000"/>
          <w:u w:val="single"/>
          <w:rtl w:val="true"/>
        </w:rPr>
        <w:t>(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ירי לעבר ביתו של א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ביום </w:t>
      </w:r>
      <w:r>
        <w:rPr>
          <w:rFonts w:cs="David" w:ascii="David" w:hAnsi="David"/>
          <w:b/>
          <w:bCs/>
          <w:color w:val="000000"/>
          <w:u w:val="single"/>
        </w:rPr>
        <w:t>2.6.2020</w:t>
      </w:r>
      <w:r>
        <w:rPr>
          <w:rFonts w:cs="David" w:ascii="David" w:hAnsi="David"/>
          <w:color w:val="000000"/>
          <w:u w:val="single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2.6.2020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בשעה </w:t>
      </w:r>
      <w:r>
        <w:rPr>
          <w:rFonts w:cs="David" w:ascii="David" w:hAnsi="David"/>
          <w:color w:val="000000"/>
        </w:rPr>
        <w:t>00:10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לערך ולבקשת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הגיע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 הקרלו הכסוף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שהטעינו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שהה באותה עת בבית עם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ירה לעבר הבית לא פחות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יריות ונמלט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 נגרמה פגיעה לשער החנייה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לפי עובדות האישום השלישי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ירי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על ביתו של ב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ascii="Arial" w:hAnsi="Arial" w:cs="Arial"/>
          <w:b/>
          <w:b/>
          <w:bCs/>
          <w:u w:val="single"/>
          <w:rtl w:val="true"/>
        </w:rPr>
        <w:t>ב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ביום </w:t>
      </w:r>
      <w:r>
        <w:rPr>
          <w:rFonts w:cs="Arial" w:ascii="Arial" w:hAnsi="Arial"/>
          <w:b/>
          <w:bCs/>
          <w:u w:val="single"/>
        </w:rPr>
        <w:t>28.5.2020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ושריפת רכבו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התגלע סכסוך בין הנאשמים לבין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על רקע סברת הנאשמים כי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פגע במזיד ברכבו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rtl w:val="true"/>
        </w:rPr>
        <w:t>הנאשמים החליטו לירות לעבר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ולפגוע ברכבו על דרך של שליחת אש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28.5.2020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הצטיידו הם בתת מקלע מאולתר מסוג קרלו בעל ידית אחיזה שחורה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להלו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b/>
          <w:b/>
          <w:bCs/>
          <w:sz w:val="22"/>
          <w:sz w:val="22"/>
          <w:szCs w:val="22"/>
          <w:rtl w:val="true"/>
        </w:rPr>
        <w:t>הקרלו השחור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טענו אותו בתחמושת מתאימה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הצטיידו בחומר דליק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04:10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הנאשמים לביתו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בטירה כדי לבצע את זממם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לחניית הרכב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שפך את תכולת הבקבוק על הרכב שחנה שם והצית את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ירה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לפחות שש יריות באמצעות הקרלו השחור לעבר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אשר שהה בבית באותה עת עם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 נגרם נזק לגדר ולשער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וכן נגרם נזק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למכוניתו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שהוצתה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מיד לאחר מכן נמלטו הנאשמים מהמקום והסליקו את הקרלו השחור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כלי הנשק נמצא ביום </w:t>
      </w:r>
      <w:r>
        <w:rPr>
          <w:rFonts w:cs="Arial" w:ascii="Arial" w:hAnsi="Arial"/>
        </w:rPr>
        <w:t>10.6.2020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ידי המשטרה בחצר בית אחותו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עטוף ביריעת ניילון נצמד ובשקית ניילון שחורה כאשר מוצמדות אליו בשרוך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לפי עובדות האישום הרביעי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ירי לעבר ביתו של א</w:t>
      </w:r>
      <w:r>
        <w:rPr>
          <w:rFonts w:cs="Arial" w:ascii="Arial" w:hAnsi="Arial"/>
          <w:b/>
          <w:bCs/>
          <w:u w:val="single"/>
          <w:rtl w:val="true"/>
        </w:rPr>
        <w:t>.</w:t>
      </w:r>
      <w:r>
        <w:rPr>
          <w:rFonts w:ascii="Arial" w:hAnsi="Arial" w:cs="Arial"/>
          <w:b/>
          <w:b/>
          <w:bCs/>
          <w:u w:val="single"/>
          <w:rtl w:val="true"/>
        </w:rPr>
        <w:t>א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ביום </w:t>
      </w:r>
      <w:r>
        <w:rPr>
          <w:rFonts w:cs="Arial" w:ascii="Arial" w:hAnsi="Arial"/>
          <w:b/>
          <w:bCs/>
          <w:u w:val="single"/>
        </w:rPr>
        <w:t>9.4.2020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תוך דרישת נכס באיומים ובכוח</w:t>
      </w:r>
      <w:r>
        <w:rPr>
          <w:rFonts w:cs="Arial" w:ascii="Arial" w:hAnsi="Arial"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כחלק מהסכסוך עם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החליטו הנאשמים לדרוש מא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כספים באיומים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לצורך כך הצטיידו הנאשמים בקרלו הכסוף וטענו אותו בתחמושת מתאימה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הנאשמים הגיעו ביום </w:t>
      </w:r>
      <w:r>
        <w:rPr>
          <w:rFonts w:cs="Arial" w:ascii="Arial" w:hAnsi="Arial"/>
        </w:rPr>
        <w:t>9.4.2020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02:24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 לביתו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כשהם רעולי פנים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עטויי כפפות ונושאים את הקרלו הכסוף ופתק איומים בו דרשו מא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בתמורה לכך שלא יפגעו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בהגיעם לביתו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הצמיד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פתק האיומים לשער הבית 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ירה מספר יריות לעבר הבית בו שהו אותה עת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נמלטו הנאשמים מהמקום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Spacing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לנאשמים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שניהם הורשעו בשנת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משפט השלום כפר סבא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בביצוע עבירה של הפרעת שוטר במילוי תפקידו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בביצוע עבירות של שימוש בכוח או באיומים למנוע מעצר והפרעה לשוטר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 העבירות הללו ביצעו הנאשמים בצוותא חדא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נדונו בשל הרשעה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לעונשי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שהפכו חבי הפעלה בהליך הנוכחי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שנתיים קודם לכן בבית משפט לנוער בביצוע עבירה של הפרעת שוטר במילוי תפקידו ונדון לשל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התחייבות ועונשי פסילה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בעניינם של הנאשמים הוגשו תסקירי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וכל אחד מן הנאשמים הגיש גם חוות דעת פרטית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משני התסקירים שהוגשו בעניינו של נאשם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רווק 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התייתם מאביו בהיותו בן שנתיים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נפגע הנאשם בתאונת דרכים באורח קשה וגם לאחר שיקום ארוך הוא עדיין סובל ממכאובים וקשיים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תאר מערכת יחסים קרובה עם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עבד בעבודות מזדמנות ומתחלפות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סיום לימודיו התיכוניים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תעודת בגרות מלאה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למד הנאשם בטורקיה לקראת לימודים גבוהים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שינה את תכניותיו ושב ארצה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 החלה התדרדרותו אשר התאפיינה בהיעדר תעסוקה יציבה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קשרים שוליים ושתיית אלכוהול מוגברת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ייחס את התנהגותו הקיצונית למחויבותו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ולצורך להוכיח גבריות והשפעה בחברה העבריינית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להרשעתו הקודמת טען כי הורשע לאחר שנתפס נוהג תחת השפעת אלכוהול והוויכוח עם השוטרים הסלים לאלימות מילולית ופיזית כלפיהם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מצעיר חסר דמות אב אשר נטה לטשטש את חומרת העבירות והתקשה להתייחס לפוטנציאל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לדפוסים העברייניים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לזמינותו לנשק חם ולמעורבות עם גורמים עברייניים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הנאשם להעמיק בבחירתו להתערב בסכסוך לא לו ואף נתן לגיטימציה לפתרון הסכסוך באופן כוחני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העריך כי הנאשם מצוי בסיכון גבוה להתנהגות אלימה בעתיד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חומרת תוצאות האלימות אם תתקיים צפויה אף היא להיות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סבור כי מן הראוי להורות 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ענישה משמעותית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מציבת גבולות ברורים וחד משמעיים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כל המלצה שיקומית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u w:val="single"/>
          <w:rtl w:val="true"/>
        </w:rPr>
        <w:t>חוות דעת קרימינולוגית שהוגשה מטעם ההגנה</w:t>
      </w:r>
      <w:r>
        <w:rPr>
          <w:rFonts w:ascii="Arial" w:hAnsi="Arial" w:cs="Arial"/>
          <w:rtl w:val="true"/>
        </w:rPr>
        <w:t xml:space="preserve"> לא סתרה את ממצאי שירות המבחן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הוא צעיר שתפקודו היה נורמטיבי עד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נכנס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סחרור עברייני אקוטי</w:t>
      </w:r>
      <w:r>
        <w:rPr>
          <w:rFonts w:cs="Arial" w:ascii="Arial" w:hAnsi="Arial"/>
          <w:rtl w:val="true"/>
        </w:rPr>
        <w:t xml:space="preserve">"., </w:t>
      </w:r>
      <w:r>
        <w:rPr>
          <w:rFonts w:ascii="Arial" w:hAnsi="Arial" w:cs="Arial"/>
          <w:rtl w:val="true"/>
        </w:rPr>
        <w:t>ההליך הפלילי הקשה מאיים על  רצונו של הנאשם לאמץ דימוי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בחינת גורמי הסיכון לצד ההתרשמות הקלינית והתנהגותו והתקדמותו בטיפול במהלך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מצביעים על רמת סיכון להישנות עבירות דומות שאינה גבוהה באופן כללי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הקרימינולוג שכתב את חוות הדעת סבר כי הנאשם טרם מיצה את דרכי הטיפול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הטלת עונש 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מופחת או עבודות שירות בשילוב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עשויה לשרת את מטרות הענישה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מתסקיר שירות המבחן שהוגש אודות נאשם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 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רווק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השלים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לימוד ללא תעודת בגרות ומגיל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השתלב בעבודות מזדמנות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בתקופה שלפני מעצרו עבד הנאשם בעיריית טירה כקורא שעוני 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 לצרוך אלכוהול מגיל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והחל להתרועע בחברה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החל הנאשם לצרוך סם מסוג חשיש ולאורך השנים העמיק את צריכת הסם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בהיותו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הותקף באלימות על ידי חברי המשפחה עמה משפחתו מסוכסכת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 כי העבירות שביצע נועדו להפסיק את ההתעללות בו על ידי בני המשפחה המסוכסכת עם משפחתו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מצא כי הנאשם אימץ עמדות בעייתיות כלפי גורמי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התורם לחיפוש ריגוש ולהוכחת מסוגלות וגבריות באמצעות התנהגות אלימה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מצוי בסיכון גבוה להישנות התנהגות בעייתית סביב החשיפה לסמים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עמדת הנאשם המצדיקה שימוש באלימות במצבים מסוימים ונגישות לנשק ישנו סיכוי ברור לחזרתה של התנהגות אלימה בדרג גבוה יותר ואף תוצאותיה עשויות להיות חמורות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למרות השתלבות הנאשם בקבוצות טיפוליות והבעת נכונות להשתלב בטיפול במהלך ריצוי עונשו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הערכת שירות המבחן היא כי נדרשת ענישה משמעותית ללא המלצה שיקומית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u w:val="single"/>
          <w:rtl w:val="true"/>
        </w:rPr>
        <w:t>בחוות דעת פסיכו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ascii="Arial" w:hAnsi="Arial" w:cs="Arial"/>
          <w:u w:val="single"/>
          <w:rtl w:val="true"/>
        </w:rPr>
        <w:t>סוציאלית וקרימינולוגית שהוגשה מטעם ההגנה</w:t>
      </w:r>
      <w:r>
        <w:rPr>
          <w:rFonts w:ascii="Arial" w:hAnsi="Arial" w:cs="Arial"/>
          <w:rtl w:val="true"/>
        </w:rPr>
        <w:t xml:space="preserve"> הוזכר שוב האירוע המשברי בנערותו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הוכה באכזריות על ידי בני המשפחה המסוכסכת עם משפחתו ומעשיהם אף גרמו לתיוגו כעבריין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מצא מפלט בצריכת 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 והתרועע בחברה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אלו בנוסף לגילו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שיקול 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תסכול מכך שאינו מצליח לשקם את חייו ועיוותי חשיבה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ולא סכסוך הקרקעות בו כלל אינו מעורה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הכשירו את הקרקע לביצוע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במעצרו הנוכחי הבין הנאשם את חומרת מצבו ואת הצורך בגמילה וטיפול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הכיר בגורמי הסיכון אשר מענה טיפולי 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עשוי להפחית את חומרתם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כותבת חוות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שאף העידה 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בקשה שגזר הדין יתן מקום לפן השיקומי שעל הנאשם לעבור במסגרת ריצוי מאסרו וכן להתחשב בנסיבות הייחודיות של העבירות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אביו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העיד כי בנו עשה טעות וביקש שבשל טעות זו לא ייגזר עליו עונש שיהרוס את חייו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תמצית טיעוני הצדדים 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נתנאל בוז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כתב האישום מצייר מגמת הסלמה ברורה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מבחינת סדר האירועים והערכים המוגנים שנפגעו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תכננו את מעשיהם מראש ולא היססו להוציאם לפועל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לא היססו לפגוע בזולת ומעשיהם מגלים תעוזה וחוסר מורא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התובע יש לחלק את האירועים לארבעה אירועים באופן שמחייב קביעת מתחם ענישה נפרד לכל אחד מהם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המאשימה רואה את אירוע הירי על שוטרים כעומד בפני עצמו שכן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לחזור לאזור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כדי לפגוע בְּשוטרים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האירוע השני הוא הירי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.; </w:t>
      </w:r>
      <w:r>
        <w:rPr>
          <w:rFonts w:ascii="Arial" w:hAnsi="Arial" w:cs="Arial"/>
          <w:rtl w:val="true"/>
        </w:rPr>
        <w:t>האירוע השלישי הוא הירי לעבר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והצתת רכבו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והאירוע הרביעי הוא החזקת ארבעה תתי מקלע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קבורים באדמה במקומות שונים לצורך שימוש למטרות עברייניות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 פסיקה לעונש וביקש לקבוע כי מתחמי עונש ההולמים כל אחד מהאירועים באופן הבא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ירי לעבר שוטרים</w:t>
      </w:r>
      <w:r>
        <w:rPr>
          <w:rFonts w:ascii="Arial" w:hAnsi="Arial" w:cs="Arial"/>
          <w:rtl w:val="true"/>
        </w:rPr>
        <w:t xml:space="preserve">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גבוה לשוטרים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 לשיקול בית המשפט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u w:val="single"/>
          <w:rtl w:val="true"/>
        </w:rPr>
        <w:t>ירי לעבר ביתו של א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ascii="Arial" w:hAnsi="Arial" w:cs="Arial"/>
          <w:u w:val="single"/>
          <w:rtl w:val="true"/>
        </w:rPr>
        <w:t>א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בשלוש הזדמנויות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ופיצוי למתלונן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u w:val="single"/>
          <w:rtl w:val="true"/>
        </w:rPr>
        <w:t>אירוע הירי לעבר ביתו של ב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ascii="Arial" w:hAnsi="Arial" w:cs="Arial"/>
          <w:u w:val="single"/>
          <w:rtl w:val="true"/>
        </w:rPr>
        <w:t>ב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ופיצוי למתלונן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u w:val="single"/>
          <w:rtl w:val="true"/>
        </w:rPr>
        <w:t>החזקת נשק</w:t>
      </w:r>
      <w:r>
        <w:rPr>
          <w:rFonts w:ascii="Arial" w:hAnsi="Arial" w:cs="Arial"/>
          <w:rtl w:val="true"/>
        </w:rPr>
        <w:t xml:space="preserve">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עתרה לגזירת עונש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בקצהו העליון של השליש התחתון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בכל אחד ממתחמי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בשים לב לכך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ירה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שלוש פעמים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שירה לעבר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המאשימה כי יהיה זה נכון לגזור על כל אחד מהם עונש עיקרי זהה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עתרה להטיל על שני הנאשמים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מיום מעצרם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עונש זה כולל את הפעלת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להטיל עליהם עונש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לתיק התעבורה בו הורשע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מבוקש לפסול את הנאשם מהחזקת רישיון נהיגה למשך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לתקווה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איהב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לטיעוניה של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והתייחס אף הוא בטיעוניו להודאתו של הנאשם מבלי לנהל הליך הוכחות וכן לנסיבותיו האישיות ולסיכויי שיקומו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הסניגור לנאשם היה זמן רב במעצר להרהר בהשלכות מעשיו ולטעמו למד את הלקח הנדרש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בדברו האחרון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אף הוא חרטה וטען כי טעה ולא ידע שיגיע למצב הזה</w:t>
      </w:r>
      <w:r>
        <w:rPr>
          <w:rtl w:val="true"/>
        </w:rPr>
        <w:t xml:space="preserve">.   </w:t>
      </w:r>
    </w:p>
    <w:p>
      <w:pPr>
        <w:pStyle w:val="ListParagraph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אנשים צעירים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הניחו ידם על לא פחות מארבעה תתי מקלע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מחסניות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והחזיקו בארסנל התקפי זה במשך כשנה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כלי הנשק לא הייתה תמימה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נעשתה בראש ובראשונה על מנת לאפשר לנאשמים לפגוע באנשים עמם היו מסוכסכים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שבהמשך התברר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כדי לפגוע בשוטרים שביצעו את תפקידם כדין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9.4.2020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ירו הנאשמים באישון לילה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בו שהה אותה עם בני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ודרשו ממנו לשלם להם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בתמורה לכך שלא יפגעו 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28.5.2020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ירו על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בו שהה 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ושלחו אש ברכבו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בתאריכים </w:t>
      </w:r>
      <w:r>
        <w:rPr>
          <w:rFonts w:cs="Arial" w:ascii="Arial" w:hAnsi="Arial"/>
        </w:rPr>
        <w:t>2.6.2020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5.6.2020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שבו הנאשמים וירו על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.; </w:t>
      </w:r>
      <w:r>
        <w:rPr>
          <w:rFonts w:ascii="Arial" w:hAnsi="Arial" w:cs="Arial"/>
          <w:rtl w:val="true"/>
        </w:rPr>
        <w:t>ולאחר הירי האחרון על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כאשר שבו הנאשמים לזירת הפשע על מנת לבחון את תוצאות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נתקלו בשוטרים שעצרו אותם לביקורת אך שחררו אותם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שהביא את הנאשמים לתכנן ולהוציא לפועל מתקפת ירי על כוח משטרה שאך בדרך נס לא הביאה לפגיעות בגוף או בנפש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מדיניות הענישה ומתחמי העונש ההולמים את מעשי הנאשמים 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כהוראות </w:t>
      </w:r>
      <w:hyperlink r:id="rId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יג</w:t>
        </w:r>
      </w:hyperlink>
      <w:r>
        <w:rPr>
          <w:rFonts w:ascii="Arial" w:hAnsi="Arial" w:cs="Arial"/>
          <w:rtl w:val="true"/>
        </w:rPr>
        <w:t xml:space="preserve"> 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ייקבע מתחם העונש ההולם לכל אירוע בנפרד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באפשרותי לקבל את עמדת באי כוח הנאשמים ולקבוע מתחם עונש הולם לכלל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לא מתקיים קשר מספק בין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וחלקם אף אינם קשורים זה בזה כלל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השוו</w:t>
      </w:r>
      <w:r>
        <w:rPr>
          <w:rFonts w:cs="Arial" w:ascii="Arial" w:hAnsi="Arial"/>
          <w:rtl w:val="true"/>
        </w:rPr>
        <w:t xml:space="preserve">: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29.10.2014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Arial" w:ascii="Arial" w:hAnsi="Arial"/>
          <w:rtl w:val="true"/>
        </w:rPr>
        <w:t xml:space="preserve">].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 כי אירוע תקיפת השוטרים מושא האישום הראשון התרחש אמנם מיד לאחר אחת ממתקפות הירי על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., </w:t>
      </w:r>
      <w:r>
        <w:rPr>
          <w:rFonts w:ascii="Arial" w:hAnsi="Arial" w:cs="Arial"/>
          <w:rtl w:val="true"/>
        </w:rPr>
        <w:t>אולם באתי לכלל מסקנה כי אינו קשור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שלאחר שכוח המשטרה שחרר את הנאשמים לדרכם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שבו הם לביתם ושם תכננו את הפגיעה בשוטרים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במבחנים שנקבעו בהלכת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 מצאתי לקבוע מתחמי עונש הולמים נפרדים כפי עתירת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מתחם עונש הולם </w:t>
      </w:r>
      <w:r>
        <w:rPr>
          <w:rFonts w:ascii="Arial" w:hAnsi="Arial" w:cs="Arial"/>
          <w:u w:val="single"/>
          <w:rtl w:val="true"/>
        </w:rPr>
        <w:t>אחד</w:t>
      </w:r>
      <w:r>
        <w:rPr>
          <w:rFonts w:ascii="Arial" w:hAnsi="Arial" w:cs="Arial"/>
          <w:rtl w:val="true"/>
        </w:rPr>
        <w:t xml:space="preserve"> להחזקת ארבעת כלי הנשק ההתקפיים במשך תקופה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מתחם עונש הולם </w:t>
      </w:r>
      <w:r>
        <w:rPr>
          <w:rFonts w:ascii="Arial" w:hAnsi="Arial" w:cs="Arial"/>
          <w:u w:val="single"/>
          <w:rtl w:val="true"/>
        </w:rPr>
        <w:t>שני</w:t>
      </w:r>
      <w:r>
        <w:rPr>
          <w:rFonts w:ascii="Arial" w:hAnsi="Arial" w:cs="Arial"/>
          <w:rtl w:val="true"/>
        </w:rPr>
        <w:t xml:space="preserve"> לירי על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ושריפת רכבו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מתחם עונש הולם </w:t>
      </w:r>
      <w:r>
        <w:rPr>
          <w:rFonts w:ascii="Arial" w:hAnsi="Arial" w:cs="Arial"/>
          <w:u w:val="single"/>
          <w:rtl w:val="true"/>
        </w:rPr>
        <w:t>שלישי</w:t>
      </w:r>
      <w:r>
        <w:rPr>
          <w:rFonts w:ascii="Arial" w:hAnsi="Arial" w:cs="Arial"/>
          <w:rtl w:val="true"/>
        </w:rPr>
        <w:t xml:space="preserve">  ביחס לשלושת מעשי הירי כלפי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>ובכך אני מקל עם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המעשים בוצעו במועדים שונים ולאחד מהם נלוותה דרישת נכס באיומים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ומתחם עונש הולם </w:t>
      </w:r>
      <w:r>
        <w:rPr>
          <w:rFonts w:ascii="Arial" w:hAnsi="Arial" w:cs="Arial"/>
          <w:u w:val="single"/>
          <w:rtl w:val="true"/>
        </w:rPr>
        <w:t>רביעי</w:t>
      </w:r>
      <w:r>
        <w:rPr>
          <w:rFonts w:ascii="Arial" w:hAnsi="Arial" w:cs="Arial"/>
          <w:rtl w:val="true"/>
        </w:rPr>
        <w:t xml:space="preserve"> ונפרד למתקפת הירי על השוטרים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א</w:t>
      </w:r>
      <w:r>
        <w:rPr>
          <w:rFonts w:cs="David" w:ascii="David" w:hAnsi="David"/>
          <w:b/>
          <w:bCs/>
          <w:u w:val="single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מתחם העונש ההולם הראשון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החזקת ארבעה תת מקלעים מאולתרים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מחסניות תואמות ותחמושת</w:t>
      </w:r>
      <w:r>
        <w:rPr>
          <w:rFonts w:cs="David" w:ascii="David" w:hAnsi="David"/>
          <w:b/>
          <w:bCs/>
          <w:u w:val="single"/>
          <w:rtl w:val="true"/>
        </w:rPr>
        <w:t>)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המוגנים העומדים בבסיס העבירה של החזקת נשק שלא כדין הם שלמות הגוף וביטחון הציבור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שנאמר לא אחת 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הנשק לסוגיהן מגלמות בתוכן סיכון ממשי לשלום הציבור ולביטחונו ולא ניתן לדעת להיכן יתגלגלו כלי הנשק המוחזקים שלא כדין ואיזה שימוש יעשה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שצוין 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לעיתים קרובות הנשק הבלתי חוקי נרכש מלכתחילה למטרות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המבצעים עבירות נשק צפויים במצב הדברים הרגיל לעונשי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כאשר מדובר בנאשמים אשר הורשעו לראשונה בעבירת מסוג זה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 רבים</w:t>
      </w:r>
      <w:r>
        <w:rPr>
          <w:rFonts w:cs="Arial" w:ascii="Arial" w:hAnsi="Arial"/>
          <w:rtl w:val="true"/>
        </w:rPr>
        <w:t xml:space="preserve">,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7502/12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כוויס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25.6.2013</w:t>
      </w:r>
      <w:r>
        <w:rPr>
          <w:rFonts w:cs="Arial" w:ascii="Arial" w:hAnsi="Arial"/>
          <w:rtl w:val="true"/>
        </w:rPr>
        <w:t xml:space="preserve">);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)].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מגמת ההחמרה במדיניות הענישה באה לידי ביטוי גם כאשר מדובר בעבירות של החזקת נשק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בלבד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בארין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31.5.2022</w:t>
      </w:r>
      <w:r>
        <w:rPr>
          <w:color w:val="00000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אישר בית המשפט העליון עונשי מאסר בני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שהושתו על נאשמים צעירים שהחזיקו בצוותא חדא ברובה ציד דו קני ובתחמושת תואמת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קדורה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החמיר בית המשפט העליון את עונשו של נאשם נעדר עבר פלילי שהחזיק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כדורים ורימון הלם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5631/21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מדאגמה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13.9.2021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אישר בית המשפט העליון עונשים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שנגזרו על מערערים צעירים שהורשעו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כלי נשק חצי אוטומטיים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ותחמושת וניסיון לשיבוש מהלכי משפט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1826/19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עסא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cs="Arial" w:ascii="Arial" w:hAnsi="Arial"/>
        </w:rPr>
        <w:t>11.7.2019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אישר בית המשפט העליון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שנגזר על מערער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שהחזיק בנשק אוטומטי מאולתר ובהמשך העבירו לאחר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8320/21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בסילה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28.12.2021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קיבל בית המשפט העליון ערעור מדינה והחמיר בעונשו של מי שהחזיק כשלושה שבועות בביתו רובה סער דמוי </w:t>
      </w:r>
      <w:r>
        <w:rPr>
          <w:rFonts w:cs="Arial" w:ascii="Arial" w:hAnsi="Arial"/>
        </w:rPr>
        <w:t>M16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מחסניות ותחמושת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כמובן מבלי למצות את הדין עם המשיב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ועוד יוזכר כי המחוקק עיגן בהוראת שעה עונשי מינימום לעבירות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שהעונש שיושת על מבצעיהן לא יפחת מרבע העונש המרבי שנקבע לעבירה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אם החליט בית המשפט מטעמים מיוחדים שיירשמו להקל בעונש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אמנם התיקון לחוק לא חל ביחס לנאשמים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המעשים בהם הורשעו נעשו עוד קודם לתיקון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יש בו כדי לשקף את רצון המחוקק לעגן את מגמת ההחמרה בענישה בעבירות הנשק עליה עמדנו לעיל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החזיקו כאמור במשך תקופה בת כשנה בארבעה כלי נשק התקפיים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תתי מקלע מאולתרים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במחסניות ובתחמושת תואמת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מן הראוי להעמיד את מתחם העונש ההולם מעשה זה לבדו על שלוש עד חמש 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מתחם העונש ההולם השני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ירי על ביתו של ב</w:t>
      </w:r>
      <w:r>
        <w:rPr>
          <w:rFonts w:cs="David" w:ascii="David" w:hAnsi="David"/>
          <w:b/>
          <w:bCs/>
          <w:u w:val="single"/>
          <w:rtl w:val="true"/>
        </w:rPr>
        <w:t>.</w:t>
      </w: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ושריפת רכבו</w:t>
      </w:r>
      <w:r>
        <w:rPr>
          <w:rFonts w:cs="David" w:ascii="David" w:hAnsi="David"/>
          <w:b/>
          <w:bCs/>
          <w:u w:val="single"/>
          <w:rtl w:val="true"/>
        </w:rPr>
        <w:t>)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עבירת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כל 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במהותה עבירת הכנה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ההצדקה לסווג מעשה הכנה זה כעבירה פלילית נעוצה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בפוטנציאל הנזק העצום שיכול להיגרם כתוצאה מקיומם של כלי נשק בלתי חוקיים ובלתי מורשים בידי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הנשק נישא ממקום למקום על מנת לבצע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 – כאשר נעשה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עוד מקום לדון בפוטנציאל הנזק אלא יש לקבוע את מתחם העונש ההולם בהתאם לנזק שנגרם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העליון פסק לאחרונה כי מתחם העונש ההולם הטיפוסי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באין נסיבות מיוחדות לחומרה או לקולה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נשיאה בלתי חוקית של נשק במרחב הציבורי 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הינו סביר בהחלט </w:t>
      </w:r>
      <w:r>
        <w:rPr>
          <w:rFonts w:cs="Arial" w:ascii="Arial" w:hAnsi="Arial"/>
          <w:rtl w:val="true"/>
        </w:rPr>
        <w:t>[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5602/22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14.9.2022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והפסיקה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המובאת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>].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/>
      </w:pPr>
      <w:r>
        <w:rPr>
          <w:rFonts w:ascii="Arial" w:hAnsi="Arial" w:cs="Arial"/>
          <w:rtl w:val="true"/>
        </w:rPr>
        <w:t>מטבע הדברים שהעונשים שנגזרים על מי שנשאו נשק במרחב הציבורי ואף עשו בו שימוש – חמורים אף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1059/21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29.4.2021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דחה בית המשפט העליון ערעור על עונש של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שנגזרו על מי שירה מספר יריות בצהרי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להחזיק באקדח ואף נמלט מכוחות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בקובעו כי מעשים חמורים מחייבים ענישה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קיבל בית המשפט העליון את ערעור המדינה והחמיר בעונשו של מי שהורשע בהחזקת נשק שלא כדין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ולא בנשיאת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כבענייננו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ובירי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פועלם באישום השלישי החליטו הנאשמים לירות לעבר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ולשלוח אש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כדרך לפתרון סכסוך שנתגלע בינם לבינו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כמתואר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לפחות שש יריות לעבר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ששהה במקום עם בני משפחתו בעוד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מצית את רכבו של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 הנאשמים נגרמו נזקי 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מעשים אלה כשהוא מפר הוראה חוקית שציוותה עליו לשהות באותו זמן בביתו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rtl w:val="true"/>
        </w:rPr>
        <w:t>הרקע לביצוע מעשים קשים אלה הוא סכסוך שנתגלע בין הנאשמים לב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כבר פסק כי שימוש בנשק חם ככלי לישוב סכסוכים הפך לרעה חולה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כמעשה של יום ביומו גובה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ולעתים את חייהם של חפים מפשע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למזלם של הנאשמים לא גבו מעשיהם חיי אדם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 xml:space="preserve">ראו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יונס 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>)].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 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),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מתחם העונש ההולם השלישי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שלושת מעשי הירי כלפי ביתו של א</w:t>
      </w:r>
      <w:r>
        <w:rPr>
          <w:rFonts w:cs="David" w:ascii="David" w:hAnsi="David"/>
          <w:b/>
          <w:bCs/>
          <w:u w:val="single"/>
          <w:rtl w:val="true"/>
        </w:rPr>
        <w:t>.</w:t>
      </w:r>
      <w:r>
        <w:rPr>
          <w:rFonts w:ascii="David" w:hAnsi="David"/>
          <w:b/>
          <w:b/>
          <w:bCs/>
          <w:u w:val="single"/>
          <w:rtl w:val="true"/>
        </w:rPr>
        <w:t>א</w:t>
      </w:r>
      <w:r>
        <w:rPr>
          <w:rFonts w:cs="David" w:ascii="David" w:hAnsi="David"/>
          <w:b/>
          <w:bCs/>
          <w:u w:val="single"/>
          <w:rtl w:val="true"/>
        </w:rPr>
        <w:t>.)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עובדות כתב האישום המתוקן מלמדות כיצד מררו הנאשמים את חייו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וזרעו בו ובבני משפחתו פחד ואימה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שלוש פעמים בפרק זמן בן קצת יותר מחודש ימים ניהלו הנאשמים מתקפת ירי על 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שלוש פעמים ירו על ביתו בעת ששהה בבית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שלוש פעמים גרמו לנזק לרכוש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כמפורט 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באחת הפעמים עשו כן במטרה לגרום לא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לשלם להם סך של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על הלך נפשם של הנאשמים בעת ביצוע מעשים אלה ניתן ללמוד מכך שלאחר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חזר מאירוע ירי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התפאר לפני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ואחרים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כעס על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כך שביצע את הירי בלעדיו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מעשים אלה מהווים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אירוע אחד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לצורך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כמות המעשים חייבת לבוא לידי ביטוי בקביעת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וזה יהיה חמור יותר מהמתחם שקבענו באשר לאירוע התקיפה הבודד על ביתו ורכבו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 [</w:t>
      </w:r>
      <w:r>
        <w:rPr>
          <w:rFonts w:ascii="Arial" w:hAnsi="Arial" w:cs="Arial"/>
          <w:rtl w:val="true"/>
        </w:rPr>
        <w:t>השוו</w:t>
      </w:r>
      <w:r>
        <w:rPr>
          <w:rFonts w:cs="Arial" w:ascii="Arial" w:hAnsi="Arial"/>
          <w:rtl w:val="true"/>
        </w:rPr>
        <w:t xml:space="preserve">: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5993/21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סאלח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29.11.2021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בו אישר בית המשפט העליון עונש של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בגין שני מעשי ירי</w:t>
      </w:r>
      <w:r>
        <w:rPr>
          <w:rFonts w:cs="Arial" w:ascii="Arial" w:hAnsi="Arial"/>
          <w:rtl w:val="true"/>
        </w:rPr>
        <w:t>].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באנו לכלל מסקנה כי מתחם העונש ההולם את מעשי הנאשמים כלפי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</w:t>
      </w:r>
      <w:r>
        <w:rPr>
          <w:rFonts w:cs="David" w:ascii="David" w:hAnsi="David"/>
          <w:b/>
          <w:bCs/>
          <w:u w:val="single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מתחם העונש ההולם הרביעי </w:t>
      </w:r>
      <w:r>
        <w:rPr>
          <w:rFonts w:cs="David" w:ascii="David" w:hAnsi="David"/>
          <w:b/>
          <w:bCs/>
          <w:u w:val="single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הירי לעבר השוטרים</w:t>
      </w:r>
      <w:r>
        <w:rPr>
          <w:rFonts w:cs="David" w:ascii="David" w:hAnsi="David"/>
          <w:b/>
          <w:bCs/>
          <w:u w:val="single"/>
          <w:rtl w:val="true"/>
        </w:rPr>
        <w:t>)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באירוע הירי לעבר השוטרים הורשעו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בחלופת הניסיון 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שכידוע דורשת כוונה מיוחדת לחבול חבלה חמורה או להטיל מום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בנס לא הסתיים אירוע הירי על השוטרים בתוצאות טרגיות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פוטנציאל הנזק ממעשיהם חמור מאד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הנאשמים חפצו לפגוע פגיעה קשה ביותר בשוטרים ויד המקרה לבדה מנעה זאת בעדם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: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19.5.2022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שטיין</w:t>
      </w:r>
      <w:r>
        <w:rPr>
          <w:rtl w:val="true"/>
        </w:rPr>
        <w:t xml:space="preserve">): 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Ruller4"/>
        <w:numPr>
          <w:ilvl w:val="0"/>
          <w:numId w:val="0"/>
        </w:numPr>
        <w:spacing w:lineRule="auto" w:line="360"/>
        <w:ind w:hanging="0" w:start="720" w:end="709"/>
        <w:jc w:val="both"/>
        <w:textAlignment w:val="baseline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העבירה שבה עסקינן – גרימת חבלה בכוונה מחמירה – גוררת אחריה עונש מירבי של עשרים שנות מאסר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כך קבע המחוקק ומילותיו אינן בגדר מילים ריקות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כפי שכבר הזדמן לי להעיר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עונש מירבי הקבוע בחוק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איננו בא לסמן רק את גבולה העליון של סמכות הענישה הנתונה בידי בתי המשפט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מדובר בעמדתו הערכית של המחוקק ביחס לחומרת העבירה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ועלינו לקיים את דברו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בבואו לגזור את עונשו של נאשם בגדרו של סימן א</w:t>
      </w:r>
      <w:r>
        <w:rPr>
          <w:rFonts w:cs="Miriam" w:ascii="Miriam" w:hAnsi="Miriam"/>
          <w:rtl w:val="true"/>
        </w:rPr>
        <w:t>'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ל</w:t>
      </w:r>
      <w:hyperlink r:id="rId23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 בית המשפט לצאת אפוא מתוך הנחה כי העונש המירבי הוא העונש שיש להטילו בנסיבות חמורות ביותר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כי בנסיבות בעלות חומרה בינונית מן הראוי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ככלל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להטיל על הנאשם את מחצית העונש המירבי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וכי בנסיבות מקלות מן הדין הוא שעונשו של הנאשם יוקל בהתאם</w:t>
      </w:r>
      <w:r>
        <w:rPr>
          <w:rFonts w:cs="Miriam" w:ascii="Miriam" w:hAnsi="Miriam"/>
          <w:rtl w:val="true"/>
        </w:rPr>
        <w:t>" (</w:t>
      </w:r>
      <w:r>
        <w:rPr>
          <w:rFonts w:ascii="Miriam" w:hAnsi="Miriam" w:cs="Miriam"/>
          <w:rtl w:val="true"/>
        </w:rPr>
        <w:t>ראו</w:t>
      </w:r>
      <w:r>
        <w:rPr>
          <w:rFonts w:cs="Miriam" w:ascii="Miriam" w:hAnsi="Miriam"/>
          <w:rtl w:val="true"/>
        </w:rPr>
        <w:t xml:space="preserve">: </w:t>
      </w:r>
      <w:hyperlink r:id="rId24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3124/18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16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והאסמכתאות שם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14.8.2019</w:t>
      </w:r>
      <w:r>
        <w:rPr>
          <w:rFonts w:cs="Miriam" w:ascii="Miriam" w:hAnsi="Miriam"/>
          <w:rtl w:val="true"/>
        </w:rPr>
        <w:t xml:space="preserve">); </w:t>
      </w:r>
      <w:r>
        <w:rPr>
          <w:rFonts w:ascii="Miriam" w:hAnsi="Miriam" w:cs="Miriam"/>
          <w:rtl w:val="true"/>
        </w:rPr>
        <w:t>ראו גם</w:t>
      </w:r>
      <w:r>
        <w:rPr>
          <w:rFonts w:cs="Miriam" w:ascii="Miriam" w:hAnsi="Miriam"/>
          <w:rtl w:val="true"/>
        </w:rPr>
        <w:t xml:space="preserve">: </w:t>
      </w:r>
      <w:hyperlink r:id="rId25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4344/18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גאבר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4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והאסמכתאות שם  </w:t>
      </w:r>
      <w:r>
        <w:rPr>
          <w:rFonts w:cs="Miriam" w:ascii="Miriam" w:hAnsi="Miriam"/>
          <w:rtl w:val="true"/>
        </w:rPr>
        <w:t>(</w:t>
      </w:r>
      <w:r>
        <w:rPr>
          <w:rFonts w:cs="Miriam" w:ascii="Miriam" w:hAnsi="Miriam"/>
        </w:rPr>
        <w:t>16.8.2019</w:t>
      </w:r>
      <w:r>
        <w:rPr>
          <w:rFonts w:cs="Miriam" w:ascii="Miriam" w:hAnsi="Miriam"/>
          <w:rtl w:val="true"/>
        </w:rPr>
        <w:t xml:space="preserve">); </w:t>
      </w:r>
      <w:hyperlink r:id="rId26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147/21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ביטון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8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14.2.2021</w:t>
      </w:r>
      <w:r>
        <w:rPr>
          <w:rFonts w:cs="Miriam" w:ascii="Miriam" w:hAnsi="Miriam"/>
          <w:rtl w:val="true"/>
        </w:rPr>
        <w:t xml:space="preserve">); </w:t>
      </w:r>
      <w:hyperlink r:id="rId27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u w:val="single"/>
          </w:rPr>
          <w:t>3223/21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שפק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פסקה </w:t>
      </w:r>
      <w:r>
        <w:rPr>
          <w:rFonts w:cs="Miriam" w:ascii="Miriam" w:hAnsi="Miriam"/>
        </w:rPr>
        <w:t>16</w:t>
      </w:r>
      <w:r>
        <w:rPr>
          <w:rFonts w:cs="Miriam" w:ascii="Miriam" w:hAnsi="Miriam"/>
          <w:rtl w:val="true"/>
        </w:rPr>
        <w:t xml:space="preserve"> (</w:t>
      </w:r>
      <w:r>
        <w:rPr>
          <w:rFonts w:cs="Miriam" w:ascii="Miriam" w:hAnsi="Miriam"/>
        </w:rPr>
        <w:t>2.3.2022</w:t>
      </w:r>
      <w:r>
        <w:rPr>
          <w:rFonts w:cs="Miriam" w:ascii="Miriam" w:hAnsi="Miriam"/>
          <w:rtl w:val="true"/>
        </w:rPr>
        <w:t>)).</w:t>
      </w:r>
    </w:p>
    <w:p>
      <w:pPr>
        <w:pStyle w:val="ListParagraph"/>
        <w:spacing w:lineRule="auto" w:line="360"/>
        <w:ind w:start="0"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1275/22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30.11.2022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בנשקו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7850/21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9.6.2022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Fonts w:ascii="Arial" w:hAnsi="Arial" w:cs="Arial"/>
          <w:rtl w:val="true"/>
        </w:rPr>
        <w:t>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6496/21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20.12.2021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נדחו ערעורים על גזרי דין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בעניינם של שני מערערים שכחלק מקבוצה רחבה יותר ביצעו ירי לעבר 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פגע אך ברכוש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כאשר מעשה אלימות מכוון כלפי אנשי מרות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רואה בכך הפסיקה נסיבה מחמירה לעונש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651" w:start="0" w:end="0"/>
        <w:jc w:val="both"/>
        <w:rPr/>
      </w:pPr>
      <w:r>
        <w:rPr>
          <w:rFonts w:ascii="Arial" w:hAnsi="Arial" w:cs="Arial"/>
          <w:rtl w:val="true"/>
        </w:rPr>
        <w:t>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6642/09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גביש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30.12.2009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החמיר בית המשפט העליון בעונשו של אדם שניסה לתקוף פקחים של הסיירת הירוקה באמצעות מחפר של שופל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באומרו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דברים אלה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651" w:end="567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הדעת אינה סובלת מעשי תקיפה של נציגי החוק אשר עושים את עבודתם נאמנה למען שמירת הסדר הציבורי ובטחון הציבור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יש להוקיע מעשים בהם אדם לוקח את החוק לידיו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לשם הפרעה לעובדי ציבור במילוי תפקידם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מעשים אלו מערערים את המוסכמות הבסיסיות ביותר של החברה הדמוקרטית בה אנו חיים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חברה המכבדת את שלטון החוק ואת זכויותיו של הזולת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לא תאפשר פגיעה בנציגי החוק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וכל פגיעה שכזו צריכה להיתקל בקיר ברזל של אפס סובלנות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על מנת לגדוע אלימות מסוג זה במהירות האפשרית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כאמור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אל מול אלימות שכזו המכרסמת ביסודות חברתנו הדמוקרטית יש לנקוט בענישה מרתיעה מאחורי סורג ובריח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 xml:space="preserve">הציבור נותן את מבטחו בעובדי הציבור ונציגי החוק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וטובת הציבור מחייבת כי יובטח להם שיוכלו למלא את תפקידם ללא מורא וללא פחד מבעלי אגרוף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מתוקפים ומאיימים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לכן הכרח להטיל ענישה של ממש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גם למען ישמעו וייראו</w:t>
      </w:r>
      <w:r>
        <w:rPr>
          <w:rFonts w:cs="Miriam" w:ascii="Miriam" w:hAnsi="Miriam"/>
          <w:rtl w:val="true"/>
        </w:rPr>
        <w:t>."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651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1594/21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מהרטו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1.7.2021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הבהיר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: "</w:t>
      </w:r>
      <w:r>
        <w:rPr>
          <w:rFonts w:ascii="Miriam" w:hAnsi="Miriam" w:cs="Miriam"/>
          <w:rtl w:val="true"/>
        </w:rPr>
        <w:t>הצתה של ניידת משטרה היא מעשה מובהק של עזות מצח והתרסה כנגד המשטרה והסדר הציבורי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ואין להתייחס לכך כאל עבירת הצתה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רגילה</w:t>
      </w:r>
      <w:r>
        <w:rPr>
          <w:rFonts w:cs="Miriam" w:ascii="Miriam" w:hAnsi="Miriam"/>
          <w:rtl w:val="true"/>
        </w:rPr>
        <w:t>'.</w:t>
      </w:r>
      <w:r>
        <w:rPr>
          <w:rFonts w:cs="Century" w:ascii="Century" w:hAnsi="Century"/>
          <w:rtl w:val="true"/>
        </w:rPr>
        <w:t>"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651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וב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6931/16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ברגיתי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5.6.2018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אישר בית המשפט העליון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שנגזר על צעיר שיידה אבנים לעבר שוטרים מגג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וכתוצאה מכך נפצע שוטר באורח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בקובעו כך</w:t>
      </w:r>
      <w:r>
        <w:rPr>
          <w:rFonts w:cs="Arial" w:ascii="Arial" w:hAnsi="Arial"/>
          <w:rtl w:val="true"/>
        </w:rPr>
        <w:t>: "</w:t>
      </w:r>
      <w:r>
        <w:rPr>
          <w:rFonts w:ascii="Miriam" w:hAnsi="Miriam" w:cs="Miriam"/>
          <w:rtl w:val="true"/>
        </w:rPr>
        <w:t>פגיעתה של אבן כבדה שהושלכה מגובה רב על ראשו של אדם עלולה לגרום לנזק כבד ועל כן מתחייבת גישה עונשית מחמירה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הדברים מקבלים משנה תוקף כאשר הפגיעה מכוונת כלפי גורמי אכיפת החוק</w:t>
      </w:r>
      <w:r>
        <w:rPr>
          <w:rFonts w:cs="Miriam" w:ascii="Miriam" w:hAnsi="Miriam"/>
          <w:rtl w:val="true"/>
        </w:rPr>
        <w:t>.</w:t>
      </w:r>
      <w:r>
        <w:rPr>
          <w:rtl w:val="true"/>
        </w:rPr>
        <w:t>"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שנתתי דעתי לערכים המוגנים שנפגעו כתוצאה ממעשי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למכלול נסיבות המקרה – לרבות העובדה כי 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השוטרים לא נפצעו – ולרמת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מצאתי להעמיד את מתחם העונש ההולם את מעשי הנאשמים באירוע הירי כלפי השוטרים על </w:t>
      </w:r>
      <w:r>
        <w:rPr>
          <w:rFonts w:cs="Arial" w:ascii="Arial" w:hAnsi="Arial"/>
          <w:u w:val="single"/>
        </w:rPr>
        <w:t>7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עד </w:t>
      </w:r>
      <w:r>
        <w:rPr>
          <w:rFonts w:cs="Arial" w:ascii="Arial" w:hAnsi="Arial"/>
          <w:u w:val="single"/>
        </w:rPr>
        <w:t>10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שנות מאסר בפועל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השוו</w:t>
      </w:r>
      <w:r>
        <w:rPr>
          <w:rFonts w:cs="Arial" w:ascii="Arial" w:hAnsi="Arial"/>
          <w:rtl w:val="true"/>
        </w:rPr>
        <w:t xml:space="preserve">: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נצ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28899-10-20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יוסף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24.2.2022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בו נקבע מתחם עונש הולם שנע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על ירי נגד 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יצוין כי פסק הדין תלוי ועומד בערעור</w:t>
      </w:r>
      <w:r>
        <w:rPr>
          <w:rFonts w:cs="Arial" w:ascii="Arial" w:hAnsi="Arial"/>
          <w:rtl w:val="true"/>
        </w:rPr>
        <w:t>].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גזירת העונש</w:t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קבעתי מתחם עונש הולם בנפרד לכל אירוע מאלה המפורטים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מצאתי לגזור על כל אחד מן הנאשמים עונש כולל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זה המקרה בו ניתן לחרוג ממתחמי העונש ההולמים שקבענו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לא השתקמו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אף האמור בחוות הדעת בעניינם בשלב זה לא הוכח כי קיים סיכוי של ממש שישתקמו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ובכל מקרה המעשים שביצעו הם בחומרה כזו שלא הייתה מאפשרת חריגה מהמתחמים לצרכי שיקומם אף אילו היה עומד על הפרק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החלק שנטל כל אחד מן הנאשמים בביצוע המעשים אינו זהה לחלוטין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התמונה הכללית העולה ממקרא עובדות כתב האישום המתוקן היא של שניים שאת כל מעשיהם ביצעו בצוותא חדא במידה כזו שכל הבחנה ביניהם לעניין העונש תהיה במידה רבה מלאכותית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זה שביצע את הירי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הראשון ולאחר זאת הסליק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זה שיזם את מתקפת הירי על השוטרים שבאה מיד לאחר מכן וביצע אותה בפועל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הצטרף אליו ודאג למלטו מן המקום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זה שביצע את הירי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זאת עשה לבקשת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שביצע את הירי לעבר ביתו של 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במקביל שלח אש ברכבו של נפגע העבירה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שירה לעבר ביתו של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זה שהצמיד את פתק האיומים לשער ביתו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עם זה יש לתת ביטוי במסגרת העונש לכך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את מרבית המעשים המפורטים בכתב האישום כשהוא מפר הוראה חוקית שציוותה עליו לשהות בשעות הערב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לתיק התעבורה שצרף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לשני הנאשמים עבר פלילי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ומסתבר שכבר היו שותפים בעבר לביצוע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שעברם הפלילי אינו מכביד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הנסיבות האישיות של כל אחד מן הנאשמים דומות וכך גם חוות הדעת שהוגשו בעניינם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גילם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מתסקירי שירות המבחן בעניינם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הנאשמים נטועים בעולם הפשע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והסיכון להישנות התנהגות אלימה מצדם הוא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כשחומרת תוצאות האלימות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צפויה אף היא להיות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מגלים דפוסים אלימים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מכלול מעשיהם מבטא יחס של  אדישות וזילות כלפי חיי אדם והעדר מורא מהחוק ונציגיו באופן המעיד כי נשקף מהם סיכון רב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אין מנוס מלגזור עליהם עונש שייתן ביטוי גם לאינטרס הרתעת הרבים והיחיד ונוכח מסוכנותם הרבה גם לאינטרס מניעת היכולת לבצע עבירות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פגעו בזולתם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הפחד והאימה שחשו 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יובאו בחשבון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הצורך לשפות אותם ואת השוטרים על מעט מנזקיהם במסגרת זו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לקולה זקפנו את הודאת הנאשמים בעובדות כתב האישום המתוקן מבלי שניהלו הליך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החרטה שהביעו לפנינו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שהודו כבר בחקירתם במשטרה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גילם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של העונש בנאשמים ובבני משפחותיהם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ובמידה מסוימת גם את נסיבות חייהם הקשות שאפשר שהייתה להן השפעה על ביצוע מעשיהם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ורק במידה 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בעבירות מסוג זה יינתן משקל נמוך לנסיבותיו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למשל</w:t>
      </w:r>
      <w:r>
        <w:rPr>
          <w:rFonts w:cs="Arial" w:ascii="Arial" w:hAnsi="Arial"/>
          <w:rtl w:val="true"/>
        </w:rPr>
        <w:t xml:space="preserve">,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5330/20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ענבתאווי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22.11.2020</w:t>
      </w:r>
      <w:r>
        <w:rPr>
          <w:rFonts w:cs="Arial" w:ascii="Arial" w:hAnsi="Arial"/>
          <w:rtl w:val="true"/>
        </w:rPr>
        <w:t xml:space="preserve">)].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נתנו דעתנו אף לכך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נסיבות חייו הקשות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בעל תעודת בגרות בציונים טובים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 מכתב ההמלצה שהתקבל מבית ספרו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נבחר ליו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מועצת התלמידים – כל זאת לפני האירועים שבכתב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משמש אסיר חוליה באגף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והתנהגותו במעצר חיובית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השתלב במסגרת מעצרו בשש קבוצות ראשוניות בנושא שליטה בכעסים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גמילה מסמים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ומגלה נכונות להשתלב בהליך טיפולי בכלא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הבאנו בחשבון לזכות הנאשמים גם את תקופת מעצרם הארוכה 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השיקולים המשמעותיים לקולה הביאונו לגזור על הנאשמים עונש עיקרי בחלק התחתון של כל אחד ממתחמי העונש ההולמים שקבענו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הנאשמים לא יזכו להקלה מעבר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בהעדר הנמקה כלשהי לסטות מן הכלל הנוהג בקשר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מצאנו להפעיל את המאסרים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חבי ההפעלה העומדים לחובת כל אחד מן הנאשמים במצטבר לעונשי המאסר שנגזור עליהם בהליך זה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ששקלנו את כל השיקולים הצריכים לעניין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לקולה ולחומרה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מצאנו להשית על כל אחד מן הנאשמים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החל ביום מעצרו </w:t>
      </w:r>
      <w:r>
        <w:rPr>
          <w:rFonts w:cs="Arial" w:ascii="Arial" w:hAnsi="Arial"/>
        </w:rPr>
        <w:t>5.6.2020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אנו מפעילים את עונש המאסר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בן שלושת החודשים שגזר על הנאשם בית משפט השלום כפר סבא ב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51773-05-19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7.1.2020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במצטבר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סך הכול ירצה 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מאסר בפועל בן 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החל ביום מעצרו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לבל יעבור עבירת אלימות מסוג פשע במשך שלוש 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לבל יעבור עבירת אלימות מסוג עוון במשך שלוש 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שלושה 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ביום </w:t>
      </w:r>
      <w:r>
        <w:rPr>
          <w:rFonts w:cs="Arial" w:ascii="Arial" w:hAnsi="Arial"/>
        </w:rPr>
        <w:t>1.1.2024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אחד משלושת השוטרים מושא האישום הראשון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כל סכומי הפיצוי יופקדו במזכירות עד ליום </w:t>
      </w:r>
      <w:r>
        <w:rPr>
          <w:rFonts w:cs="Arial" w:ascii="Arial" w:hAnsi="Arial"/>
        </w:rPr>
        <w:t>1.6.2023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ויועברו לנפגעי העבירה לפי פרטים שתספק המאשימה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החל ביום מעצרו </w:t>
      </w:r>
      <w:r>
        <w:rPr>
          <w:rFonts w:cs="Arial" w:ascii="Arial" w:hAnsi="Arial"/>
        </w:rPr>
        <w:t>5.6.2020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אנו מפעילים את עונש המאסר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בן ששת החודשים שגזר על הנאשם בית משפט השלום כפר סבא 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51773-05-19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8.12.2019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במצטבר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סך הכול ירצה 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מאסר בפועל בן </w:t>
      </w: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שנים 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החל ביום מעצרו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לבל יעבור עבירת אלימות מסוג פשע במשך שלוש 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לבל יעבור עבירת אלימות מסוג עוון או עבירה של הפרת הוראה חוקית במשך שלוש 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פסילת רישיון נהיגה בת שנתיים מיום שחרורו של הנאשם ממאסר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פסילה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</w:t>
      </w:r>
      <w:r>
        <w:rPr>
          <w:rFonts w:ascii="Arial" w:hAnsi="Arial" w:cs="Arial"/>
          <w:rtl w:val="true"/>
        </w:rPr>
        <w:t>בת שישה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למשך שנתיים מתום הפסילה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שלושה חודשי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ביום </w:t>
      </w:r>
      <w:r>
        <w:rPr>
          <w:rFonts w:cs="Arial" w:ascii="Arial" w:hAnsi="Arial"/>
        </w:rPr>
        <w:t>1.1.2024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אחד משלושת השוטרים מושא האישום הראשון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לא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לב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כל סכומי הפיצוי יופקדו במזכירות עד ליום </w:t>
      </w:r>
      <w:r>
        <w:rPr>
          <w:rFonts w:cs="Arial" w:ascii="Arial" w:hAnsi="Arial"/>
        </w:rPr>
        <w:t>1.6.2023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ויועברו לנפגעי העבירה לפי פרטים שתספק המאשימה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highlight w:val="yellow"/>
          <w:u w:val="single"/>
        </w:rPr>
      </w:pPr>
      <w:r>
        <w:rPr>
          <w:rFonts w:cs="Arial" w:ascii="Arial" w:hAnsi="Arial"/>
          <w:b/>
          <w:bCs/>
          <w:highlight w:val="yellow"/>
          <w:u w:val="single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השופט עמי קובו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אב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מסכים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השופטת מרב גרינברג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מסכימה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הוחלט כאמור בגזר דינו של השופט מיכאל קרשן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text" w:horzAnchor="margin" w:tblpXSpec="center" w:leftFromText="180" w:rightFromText="180" w:tblpY="3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3"/>
        <w:gridCol w:w="3536"/>
        <w:gridCol w:w="3341"/>
      </w:tblGrid>
      <w:tr>
        <w:trPr/>
        <w:tc>
          <w:tcPr>
            <w:tcW w:w="3383" w:type="dxa"/>
            <w:tcBorders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53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color w:val="FFFFFF"/>
                <w:sz w:val="20"/>
                <w:szCs w:val="20"/>
              </w:rPr>
            </w:pPr>
            <w:r>
              <w:rPr>
                <w:rFonts w:cs="David" w:ascii="David" w:hAnsi="David"/>
                <w:color w:val="FFFFFF"/>
                <w:sz w:val="20"/>
                <w:szCs w:val="2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Times New Roman"/>
                <w:sz w:val="20"/>
                <w:szCs w:val="20"/>
              </w:rPr>
            </w:pPr>
            <w:r>
              <w:rPr>
                <w:rFonts w:cs="Times New Roman" w:ascii="David" w:hAnsi="David"/>
                <w:sz w:val="20"/>
                <w:szCs w:val="20"/>
                <w:rtl w:val="true"/>
              </w:rPr>
            </w:r>
          </w:p>
        </w:tc>
        <w:tc>
          <w:tcPr>
            <w:tcW w:w="334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3383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עמי  קובו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אב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</w:t>
            </w:r>
          </w:p>
        </w:tc>
        <w:tc>
          <w:tcPr>
            <w:tcW w:w="3536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מיכאל קרשן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</w:t>
            </w:r>
          </w:p>
        </w:tc>
        <w:tc>
          <w:tcPr>
            <w:tcW w:w="3341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מרב גרינברג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</w:rPr>
      </w:pPr>
      <w:r/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52360-06-20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מועאסם סולטאן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8"/>
        <w:szCs w:val="28"/>
        <w:rFonts w:ascii="FrankRuehl" w:hAnsi="FrankRuehl" w:cs="FrankRuehl"/>
        <w:color w:val="000000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FrankRuehl" w:hAnsi="FrankRuehl" w:cs="FrankRuehl"/>
      <w:color w:val="000000"/>
      <w:sz w:val="28"/>
      <w:szCs w:val="28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Ruller4">
    <w:name w:val="Ruller 4 ממוספר"/>
    <w:basedOn w:val="Normal"/>
    <w:next w:val="Normal"/>
    <w:qFormat/>
    <w:pPr>
      <w:numPr>
        <w:ilvl w:val="0"/>
        <w:numId w:val="5"/>
      </w:numPr>
      <w:overflowPunct w:val="false"/>
      <w:autoSpaceDE w:val="false"/>
      <w:jc w:val="both"/>
    </w:pPr>
    <w:rPr>
      <w:rFonts w:ascii="Garamond" w:hAnsi="Garamond" w:cs="Garamon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g" TargetMode="External"/><Relationship Id="rId4" Type="http://schemas.openxmlformats.org/officeDocument/2006/relationships/hyperlink" Target="http://www.nevo.co.il/law/70301/40jc" TargetMode="External"/><Relationship Id="rId5" Type="http://schemas.openxmlformats.org/officeDocument/2006/relationships/hyperlink" Target="http://www.nevo.co.il/case/26634683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3093721" TargetMode="External"/><Relationship Id="rId9" Type="http://schemas.openxmlformats.org/officeDocument/2006/relationships/hyperlink" Target="http://www.nevo.co.il/case/5601503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case/27894608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27873558" TargetMode="External"/><Relationship Id="rId14" Type="http://schemas.openxmlformats.org/officeDocument/2006/relationships/hyperlink" Target="http://www.nevo.co.il/case/25528737" TargetMode="External"/><Relationship Id="rId15" Type="http://schemas.openxmlformats.org/officeDocument/2006/relationships/hyperlink" Target="http://www.nevo.co.il/case/28152132" TargetMode="External"/><Relationship Id="rId16" Type="http://schemas.openxmlformats.org/officeDocument/2006/relationships/hyperlink" Target="http://www.nevo.co.il/law/70301/144.g" TargetMode="External"/><Relationship Id="rId17" Type="http://schemas.openxmlformats.org/officeDocument/2006/relationships/hyperlink" Target="http://www.nevo.co.il/case/28883087" TargetMode="External"/><Relationship Id="rId18" Type="http://schemas.openxmlformats.org/officeDocument/2006/relationships/hyperlink" Target="http://www.nevo.co.il/case/27404359" TargetMode="External"/><Relationship Id="rId19" Type="http://schemas.openxmlformats.org/officeDocument/2006/relationships/hyperlink" Target="http://www.nevo.co.il/case/27915710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7907602" TargetMode="External"/><Relationship Id="rId22" Type="http://schemas.openxmlformats.org/officeDocument/2006/relationships/hyperlink" Target="http://www.nevo.co.il/case/28280815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4140670" TargetMode="External"/><Relationship Id="rId25" Type="http://schemas.openxmlformats.org/officeDocument/2006/relationships/hyperlink" Target="http://www.nevo.co.il/case/24269594" TargetMode="External"/><Relationship Id="rId26" Type="http://schemas.openxmlformats.org/officeDocument/2006/relationships/hyperlink" Target="http://www.nevo.co.il/case/27309272" TargetMode="External"/><Relationship Id="rId27" Type="http://schemas.openxmlformats.org/officeDocument/2006/relationships/hyperlink" Target="http://www.nevo.co.il/case/27608320" TargetMode="External"/><Relationship Id="rId28" Type="http://schemas.openxmlformats.org/officeDocument/2006/relationships/hyperlink" Target="http://www.nevo.co.il/case/28330552" TargetMode="External"/><Relationship Id="rId29" Type="http://schemas.openxmlformats.org/officeDocument/2006/relationships/hyperlink" Target="http://www.nevo.co.il/case/5172636" TargetMode="External"/><Relationship Id="rId30" Type="http://schemas.openxmlformats.org/officeDocument/2006/relationships/hyperlink" Target="http://www.nevo.co.il/case/28096675" TargetMode="External"/><Relationship Id="rId31" Type="http://schemas.openxmlformats.org/officeDocument/2006/relationships/hyperlink" Target="http://www.nevo.co.il/case/27933514" TargetMode="External"/><Relationship Id="rId32" Type="http://schemas.openxmlformats.org/officeDocument/2006/relationships/hyperlink" Target="http://www.nevo.co.il/case/6076519" TargetMode="External"/><Relationship Id="rId33" Type="http://schemas.openxmlformats.org/officeDocument/2006/relationships/hyperlink" Target="http://www.nevo.co.il/case/27454369" TargetMode="External"/><Relationship Id="rId34" Type="http://schemas.openxmlformats.org/officeDocument/2006/relationships/hyperlink" Target="http://www.nevo.co.il/case/21478977" TargetMode="External"/><Relationship Id="rId35" Type="http://schemas.openxmlformats.org/officeDocument/2006/relationships/hyperlink" Target="http://www.nevo.co.il/case/27072263" TargetMode="External"/><Relationship Id="rId36" Type="http://schemas.openxmlformats.org/officeDocument/2006/relationships/hyperlink" Target="http://www.nevo.co.il/case/26888657" TargetMode="External"/><Relationship Id="rId37" Type="http://schemas.openxmlformats.org/officeDocument/2006/relationships/hyperlink" Target="http://www.nevo.co.il/case/25717735" TargetMode="External"/><Relationship Id="rId38" Type="http://schemas.openxmlformats.org/officeDocument/2006/relationships/hyperlink" Target="http://www.nevo.co.il/case/25717735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2024-05-05T08:08:00Z</dcterms:created>
  <dc:creator> </dc:creator>
  <dc:description/>
  <cp:keywords/>
  <dc:language>en-IL</dc:language>
  <cp:lastModifiedBy>h1</cp:lastModifiedBy>
  <dcterms:modified xsi:type="dcterms:W3CDTF">2024-05-05T08:08:00Z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מועאסם סולטאן;מוחמד סולטאן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26634683;5601503;25824863:2;27894608;28513828;27873558;25528737;28152132;28883087;27404359;27915710;27907602;28280815;24140670;24269594;27309272;27608320;28330552;5172636;28096675;27933514;6076519;27454369;21478977;27072263;26888657;25717735:2</vt:lpwstr>
  </property>
  <property fmtid="{D5CDD505-2E9C-101B-9397-08002B2CF9AE}" pid="9" name="CITY">
    <vt:lpwstr>מרכז</vt:lpwstr>
  </property>
  <property fmtid="{D5CDD505-2E9C-101B-9397-08002B2CF9AE}" pid="10" name="DATE">
    <vt:lpwstr>20230104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קובו;מיכאל קרשן;מרב גרינברג</vt:lpwstr>
  </property>
  <property fmtid="{D5CDD505-2E9C-101B-9397-08002B2CF9AE}" pid="14" name="LAWLISTTMP1">
    <vt:lpwstr>70301/40jc;144.g</vt:lpwstr>
  </property>
  <property fmtid="{D5CDD505-2E9C-101B-9397-08002B2CF9AE}" pid="15" name="LAWYER">
    <vt:lpwstr>נתנאל בוז'ו;מיכל קורן;איהב ג'לג'ולי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52360</vt:lpwstr>
  </property>
  <property fmtid="{D5CDD505-2E9C-101B-9397-08002B2CF9AE}" pid="22" name="NEWPARTB">
    <vt:lpwstr>06</vt:lpwstr>
  </property>
  <property fmtid="{D5CDD505-2E9C-101B-9397-08002B2CF9AE}" pid="23" name="NEWPARTC">
    <vt:lpwstr>20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390020230104</vt:lpwstr>
  </property>
  <property fmtid="{D5CDD505-2E9C-101B-9397-08002B2CF9AE}" pid="34" name="TYPE_N_DATE">
    <vt:lpwstr>39020230104</vt:lpwstr>
  </property>
  <property fmtid="{D5CDD505-2E9C-101B-9397-08002B2CF9AE}" pid="35" name="VOLUME">
    <vt:lpwstr/>
  </property>
  <property fmtid="{D5CDD505-2E9C-101B-9397-08002B2CF9AE}" pid="36" name="WORDNUMPAGES">
    <vt:lpwstr>17</vt:lpwstr>
  </property>
</Properties>
</file>