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53498-02-20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אלקיעאן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35"/>
        <w:gridCol w:w="3602"/>
        <w:gridCol w:w="3483"/>
      </w:tblGrid>
      <w:tr>
        <w:trPr>
          <w:trHeight w:val="355" w:hRule="atLeast"/>
        </w:trPr>
        <w:tc>
          <w:tcPr>
            <w:tcW w:w="533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נתן זלוצ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ובר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דניאל בן טולילה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טל לחיאני שהם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4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3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גיורא חזן</w:t>
            </w:r>
          </w:p>
        </w:tc>
        <w:tc>
          <w:tcPr>
            <w:tcW w:w="34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3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08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32"/>
                <w:szCs w:val="32"/>
                <w:rtl w:val="true"/>
              </w:rPr>
              <w:t xml:space="preserve">         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rtl w:val="true"/>
              </w:rPr>
              <w:t>נ ג 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10"/>
                <w:szCs w:val="10"/>
              </w:rPr>
            </w:pPr>
            <w:r>
              <w:rPr>
                <w:rFonts w:cs="David" w:ascii="David" w:hAnsi="David"/>
                <w:b/>
                <w:bCs/>
                <w:sz w:val="10"/>
                <w:szCs w:val="1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3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חמדה אבו אלקיעאן </w:t>
            </w:r>
          </w:p>
        </w:tc>
        <w:tc>
          <w:tcPr>
            <w:tcW w:w="34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3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דוד יפתח</w:t>
            </w:r>
          </w:p>
        </w:tc>
        <w:tc>
          <w:tcPr>
            <w:tcW w:w="34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vanish/>
        </w:rPr>
      </w:pPr>
      <w:r>
        <w:rPr>
          <w:rFonts w:cs="FrankRuehl" w:ascii="FrankRuehl" w:hAnsi="FrankRuehl"/>
          <w:vanish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השופט דניאל בן טולילה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120" w:after="120"/>
        <w:ind w:end="0"/>
        <w:jc w:val="both"/>
        <w:rPr/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ביום </w:t>
      </w:r>
      <w:r>
        <w:rPr>
          <w:rFonts w:cs="Arial" w:ascii="Arial" w:hAnsi="Arial"/>
        </w:rPr>
        <w:t>7.6.22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סמך הודאתו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בניסיון 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של נשיאה והובלת נשק וירי מנשק חם תוך סיכון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להוראות 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</w:t>
      </w:r>
      <w:r>
        <w:rPr>
          <w:rFonts w:cs="Arial" w:ascii="Arial" w:hAnsi="Arial"/>
          <w:rtl w:val="true"/>
        </w:rPr>
        <w:t>-</w:t>
      </w:r>
      <w:hyperlink r:id="rId15"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bookmarkStart w:id="9" w:name="ABSTRACT_END"/>
      <w:bookmarkEnd w:id="9"/>
      <w:r>
        <w:rPr>
          <w:rFonts w:ascii="Arial" w:hAnsi="Arial" w:cs="Arial"/>
          <w:rtl w:val="true"/>
        </w:rPr>
        <w:t>על פי המתואר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פלג חסן אבו אלקיעאן אליו משתייך הנאשם ופלג שחדה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משתייך סהר אבו אלקיעאן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המנוח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היו מסוכסכים וזאת מסיבה שאינה ידועה למאשימה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11.1.20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הנאשם אשר נהג ברכב מסוג סקודה אוקטביה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8670770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נהג ברכב טויוטה רב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45-096-35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התפתחה מריבה בכביש פנימי בישוב חורה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תוך כדי המריבה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והמנוח ברכביהם לשטח עפר על כביש צדדי סמוך ודרומית לרחוב אלסלאם בחורה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רכב הטויוטה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התנגש בצדו השמאלי של רכב הסקודה בו נהג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הנאשם ואחרים מרכב הסקודה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בו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המנוח מרכב הטויוטה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תוך כדי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מעורבים נוספים והתפתחה קטטה רבת משתתפים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חזר לרכב הסקודה ונסע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בלבו של הנאשם ההחלטה להמית את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הצטייד באקדח ולאחר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לשטח העפר כאשר הוא נוהג ברכב הסקודה במהירות פרועה לעבר רכב הטויוטה השייך למנוח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לגרום למותו באמצעות הרכב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המנוח ואנשים נוספים שעמדו לידו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את הנאשם שועט לעברם ברכב הסקודה והצליחו להימלט בריצה טרם פגיעת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פגע בחוזקה ברכב הטויוטה וגרם לו לנזקים כבדים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קצר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הנאשם באוויר כדור אחד מהאקדח אותו נשא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קצר לאחר ההתנגשות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נורה המנוח בנסיבות שאינן ידועות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נפגע המנוח בשליש העליון של הגב משמאל 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מפסגת הקודקוד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מהקו האמצע האחורי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בסמוך לאחר מכן התפתחה במקום קטטה שבה נטל חלק גם הנאשם ובסמוך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 הנאשם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המנוח הובהל למרכז הרפואי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סורוקה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באמצעות רכב של מי מפלג שחדה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בהגעתו לבית החולים היה המנוח ללא דופק וללא נשימה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המנוח הונשם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בוצעה פתיחת חזה ובוצעו פעולות נוספות שלא שיפרו את מצבו של המנוח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המנוח מת מפצעיו בבית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מותו של המנוח נגרם כתוצאה מהירי אשר גרם להלם תת נפחי בעקבות נזקים חמורים לכלי דם בריאה השמאלית וכלי הדם הבין צלעיים בשל מעבר קליע דרך גב המנוח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בשלב מסוים במהלך האירועים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נפצע בראשו ונגרמו לו חתכים שהצריכו טיפול רפואי וסגירתם בתפרים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עד כאן עובדות 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>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סוכם כי המאשימה תטען לעונש מאסר בן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ואילו ההגנה תהא חופשית בטיעוניה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לאחרונה התארס לבת דודו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עובר למעצרו התגורר בחורה ומזה למעלה משנה מתגורר בשכירות בכפר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ת ומצוי בתנאים מגבילים של מעצר בית 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עובד עם אביו וגיסו בהרכבת שיש ועבודות בניה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בהמשך השתלב בלימודי תכנות במשך שנה וחצי כשבמקביל השתלב בעבודה במוסכים בחנות מוצרי חשמל זאת עד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כי לאחר שחרורו המשיך את לימודיו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במשפחת מוצאו הוא השלישי מבין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מרכיב שיש ואמו בת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משפחתו מגנה את מעשיו ותומכת במאמציו לשקם את מצבו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משפחתו סובלת מאיומים וקיים מתח תמידי על רקע העבירות הנדונות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ציין כי במסגרת נקמת 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דודו מצד אביו נרצח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כעת קיימים מגעים לסולחה עם משפחת המנוח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אבחון שנערך לנאשם במרכז פרטי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בדידאת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ליעוץ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אבחון וטיפול בעוברי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הנאשם אחריות מלאה על התנהגותו האלימה ובטא צער וחרטה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פירט כי הרקע להתנהגותו הקיצונית הוא פציעתו בראש על ידי המנוח ואחרים שהתנגשו ברכבו במכוון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חסמו את דרך נסיעתו ותקפו אותו במקלות ובצינורות מתכת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 שבאזור בו מתגורר נהוג להגיב על מקרי אלימות ולהשתמש בנשק והיה ידוע לו על מקום הימצאו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פעל מתוך תחושות של השפלה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הנמכה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כאב וצורך להרתיע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לנקום על הפגיעה בו ולמנוע תיוגו כבחור חלש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כי מעצרו הממושך מאחורי סורג ובריח ובהמשך באיזוק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לראשונה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התוצאה הטרגית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מות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מות דוד כנקמה שהיה אך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לתינוק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פציעת דוד נוסף וניסיונות פגיעה בדוד אחר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חידדו את חומרת התנהגותו והשלכותיה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התבודד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מאובדן החופש וממחשבות טורדניות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תחושות של בושה ואכזבה שפקדו אותו ואת משפחת מוצאו סביב העובדה כי המנוח שייך לחמולה הרחבה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המהווה כתם מבחינת הקודים הבדואים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ביטא הנאשם נכונות לשאת בתוצאות מעשיו לצד חששו ממאסר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בשל הפחד ממפגש עם אסירים מהפלג השייך למנוח ומאחרים המזוהים עמם העלולים לפגוע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מעצרו בבית מעצר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ניצן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השתלב בתכנית חינוך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קבוצת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קבוצת תקשורת ולמד איך לתקשר ולבטא כעסים בדרך אדפטיבית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מסר כי היום מודע יותר לאלטרנטיבות יעילות שעומדות לרשותו במצבים מורכבים רגשית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מסר כי השתלב בטיפול במרכז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בדידאת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שמתקיים אחת לשבוע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אותו החל ביוני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מעיון בחוות הדעת מיום </w:t>
      </w:r>
      <w:r>
        <w:rPr>
          <w:rFonts w:cs="Arial" w:ascii="Arial" w:hAnsi="Arial"/>
        </w:rPr>
        <w:t>24.11.22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אודות הטיפול שעובר במרכז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בדידאת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עולה כי הנאשם משולב בהליך טיפולי פסיכוסוציאלי וייעודי לעבירות בהן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בשיחות עמו מגלה עניין בתכנים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מוטיבציה להבנה מעמיקה לדינמיקה שהובילה להסתבכותו ורוכש כלים להתמודדות מיטיבה במצבי לחץ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מכיר במאפייני אישיותו שעמדו ברקע לעבירות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כי הנאשם מגלה פתיחות רגשית ומחשבתית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חושף תכנים מחייו ומשתף פעולה באופן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הגורמים הטיפוליים במרכז סבורים כי תהליך שיקומי ארוך ומשמעותי יוביל להפחתת הסיכון להישנות 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התרשמות שירות המבחן היא כי הנאשם מפנים את השפה הטיפולית ועושה מאמצים כנים להתבונן בקשייו ובנסיבות הרגשיות שעמדו בבסיס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מודע לצורך בהמשך מעורבות טיפולית במצבו על מנת לעבד את השלכות מעשיו ולרכוש כלים להתמודדות נורמטיבית במצבים מורכבים רגשית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 xml:space="preserve">בבחינת </w:t>
      </w:r>
      <w:r>
        <w:rPr>
          <w:rFonts w:ascii="Arial" w:hAnsi="Arial" w:cs="Arial"/>
          <w:u w:val="single"/>
          <w:rtl w:val="true"/>
        </w:rPr>
        <w:t>גורמי הסיכון</w:t>
      </w:r>
      <w:r>
        <w:rPr>
          <w:rFonts w:ascii="Arial" w:hAnsi="Arial" w:cs="Arial"/>
          <w:rtl w:val="true"/>
        </w:rPr>
        <w:t xml:space="preserve"> לאלימות והישנות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מונה את חומרת התנהגותו ותוצאותיה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מאפייניו הרגשיים והתפקודיים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סוגיית ההגנה לעצמו ולסביבתו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גדילתו לסביבה הנותנת לגיטימציה לשימוש באלימות במצבים מסוימים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השימוש בנשק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חוסר בשלות רגשית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כישורים להתמודדות יעילה במצבי דחק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סכסוך אשר טרם בא לסיומו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קושי בוויסות דחפים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הפעלת שיקול דעת אודות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קשיי נפרדות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חשיפה לעבריינות בסביבת מגוריו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מיקוד שליטה פנימי נמוך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Arial" w:hAnsi="Arial" w:cs="Arial"/>
          <w:u w:val="single"/>
          <w:rtl w:val="true"/>
        </w:rPr>
        <w:t>כגורמי סיכוי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מונה שירות המבחן את גילו הצעיר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קבלת אחריות מלאה על התנהגותו האלימה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ביטוי צער וחרטה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יכולת לגילוי אמפטיה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נכונות לשאת בתוצאות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יכולת הסתגלות ויציבות בלימודים ובעבודה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ביטחון בקשר עם גורמי הטיפול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גילוי מוטיבציה לשקם את מצבו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שמירתו על התנאים המגבילים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ההתרשמות כי הליכי מעצרו מרתיעים עבורו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ההתרשמות כי רמת הסיכון להישנות התנהגות אלימה הנה נמוכה וכי במידה ויבצע עבירת אלימות חומרתה תהיה בינונית עד נמוכה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הערכה כי מעורבות טיפולית תפחית את הסיכון להישנות התנהגותו העבריינית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סבור כי ריצוי עונש מאסר מאחורי סורג ובריח עלול להביא לנסיגה במצבו ולהקטין סיכויי שיקומו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שבית המשפט ימצא להשית עליו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מומלץ לקחת בחשבון את מעצרו הממושך וכן להורות לשב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לשלב אותו בהליך שיקומי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>ראיות המאשימה לעונש</w:t>
      </w:r>
      <w:r>
        <w:rPr>
          <w:rFonts w:cs="David" w:ascii="David" w:hAnsi="David"/>
          <w:b/>
          <w:bCs/>
          <w:u w:val="single"/>
          <w:rtl w:val="true"/>
          <w:lang w:val="en-IL" w:eastAsia="en-IL"/>
        </w:rPr>
        <w:t xml:space="preserve">: 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המנוח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מוחמד אבו אלקיעאן העיד מטעם המאשימה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 המנוח ניהל אורח חיים יצרני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נשוי ואב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כשאשתו הייתה בהריון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מילדיו של המנוח הם נכים והעד הוא האפוטרופוס שלהם ומסייע לכלתו בטיפול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העד תיאר את החלל העצום שנוצר בחייהם בעקבות הירצחו של המנוח ואת מורת רוחו מהסדר 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 ביקש מבית המשפט להשית על הנאשם עונש כבד ככל האפשר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 לעונש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tl w:val="true"/>
        </w:rPr>
        <w:t xml:space="preserve">. 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בהתרחשויות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אשר לנסיבות שאינן קשורות לביצוע העבירה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הודגש</w:t>
      </w:r>
      <w:r>
        <w:rPr>
          <w:rFonts w:ascii="David" w:hAnsi="David"/>
          <w:rtl w:val="true"/>
        </w:rPr>
        <w:t xml:space="preserve"> הצורך בהרתעת הרבים וההגנה על שלום הציבור בעבירות מעין אלו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u w:val="single"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מצדה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בדידאאת</w:t>
      </w:r>
      <w:r>
        <w:rPr>
          <w:rtl w:val="true"/>
        </w:rPr>
        <w:t xml:space="preserve">".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מסתמכת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)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על פי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המוגנים אשר נפגעו כתוצאה ממעשיו של הנאשם בעבירה של</w:t>
      </w:r>
      <w:r>
        <w:rPr>
          <w:rFonts w:ascii="David" w:hAnsi="David"/>
          <w:b/>
          <w:b/>
          <w:bCs/>
          <w:rtl w:val="true"/>
        </w:rPr>
        <w:t xml:space="preserve"> ניסיון לרצח </w:t>
      </w:r>
      <w:r>
        <w:rPr>
          <w:rFonts w:ascii="David" w:hAnsi="David"/>
          <w:rtl w:val="true"/>
        </w:rPr>
        <w:t>הם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והזכות לביטחון אישי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העבירה של ניסיון לרצח נמנית על החמורות שבקודקס הפלילי שעונש המקסימום לצדה עומד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חיווה דעתו המחוקק על החומרה הרבה הגלומה בעבירה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יפים לעניין זה דבריו של בית המשפט העליון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4372/13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סיסאי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שהם</w:t>
      </w:r>
      <w:r>
        <w:rPr>
          <w:rFonts w:cs="Calibri" w:ascii="Calibri" w:hAnsi="Calibri"/>
          <w:rtl w:val="true"/>
        </w:rPr>
        <w:t>](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6.8.14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hd w:fill="FFFFFF" w:val="clear"/>
        <w:spacing w:before="120" w:after="12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העבירה שעניינה ניסיון לרצח היא מן החמורות שבספר החוקים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הערך המוגן בעבירה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הינו הערך העליון של קדושת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היסוד הנפשי והפוטנציאל לקיפוד חייו של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הגלום בעבירה של ניסיון לרצח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ממחישים היטב את חומרתה של העבירה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אשר 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בעבירה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מחייבת גישה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ההולם את חומרת הפגיעה בזולת ואת מעמדו של הערך המוגן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שיקולים של גמול והרתעה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את משקל הבכורה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ומחייבים להשית על מי שהורשע בניסיון לרצח עונש מאסר לתקופה ממושכת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הנמדדת בשנים ארוכות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Normal"/>
        <w:shd w:fill="FFFFFF" w:val="clear"/>
        <w:tabs>
          <w:tab w:val="clear" w:pos="720"/>
          <w:tab w:val="left" w:pos="8505" w:leader="none"/>
        </w:tabs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המוגנים שנפגעו ממעשיו של הנאשם בעבירות הנשק ובירי מנשק חם באופן שיש בו לסכן חיי אדם הם בראש ובראשונה 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במעשים אלו פגיעה בשלטון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עמד בשורה ארוכה של פסקי דין על חומרתן הרבה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לעניין זה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יונס סובח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17-16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>] (</w:t>
      </w:r>
      <w:r>
        <w:rPr>
          <w:rFonts w:ascii="David" w:hAnsi="David"/>
          <w:rtl w:val="true"/>
        </w:rPr>
        <w:t>פורסם באר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5.11.19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257" w:before="0" w:after="160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 משפט זה לא נותר אדיש למול השימוש הגובר בנשק 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David" w:ascii="David" w:hAnsi="David"/>
          <w:b/>
          <w:bCs/>
          <w:rtl w:val="true"/>
        </w:rPr>
        <w:t>... "</w:t>
      </w:r>
    </w:p>
    <w:p>
      <w:pPr>
        <w:pStyle w:val="Normal"/>
        <w:shd w:fill="FFFFFF" w:val="clear"/>
        <w:tabs>
          <w:tab w:val="clear" w:pos="720"/>
          <w:tab w:val="left" w:pos="8505" w:leader="none"/>
        </w:tabs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 xml:space="preserve">המחוקק קבע לצדה של עבירת נשיאת הנשק שלא כדין עונש מרבי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מאסר בפועל ולעבירה של ירי מנשק חם באופן שיש בו לסכן חיי אדם עונש מרבי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לאחרונה חוקק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במסגרת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הורשע אדם בעבירה לפי סעיף קטן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רישה</w:t>
      </w:r>
      <w:r>
        <w:rPr>
          <w:rFonts w:cs="David" w:ascii="David" w:hAnsi="David"/>
          <w:b/>
          <w:bCs/>
          <w:rtl w:val="true"/>
        </w:rPr>
        <w:t>, 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רישה</w:t>
      </w:r>
      <w:r>
        <w:rPr>
          <w:rFonts w:cs="David" w:ascii="David" w:hAnsi="David"/>
          <w:b/>
          <w:bCs/>
          <w:rtl w:val="true"/>
        </w:rPr>
        <w:t>, 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אם כן החליט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מטעמים מיוחדים שיירשמו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להקל בעונשו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עונש מאסר לפי סעיף קטן זה לא יהיה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בהעדר טעמים מיוחדים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כולו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rtl w:val="true"/>
        </w:rPr>
        <w:t>אמנם התיקון לחוק לא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בו ביטוי נוסף לחומרה בה רואה המחוקק עבירות שכאלה כמו גם למגמת החמרת הענישה בעבירות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2352/19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tl w:val="true"/>
        </w:rPr>
        <w:t>]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15.10.19</w:t>
      </w:r>
      <w:r>
        <w:rPr>
          <w:rtl w:val="true"/>
        </w:rPr>
        <w:t xml:space="preserve">):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4344/18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(‏</w:t>
      </w:r>
      <w:r>
        <w:rPr>
          <w:b/>
          <w:bCs/>
        </w:rPr>
        <w:t>16.8.2019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מגדירים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b/>
          <w:b/>
          <w:bCs/>
          <w:u w:val="single"/>
          <w:rtl w:val="true"/>
        </w:rPr>
        <w:t>פסיקה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נוהגת</w:t>
      </w:r>
      <w:r>
        <w:rPr>
          <w:rtl w:val="true"/>
        </w:rPr>
        <w:t>: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;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120" w:after="12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u w:val="single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3030/15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מוגרבי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19.4.16</w:t>
      </w:r>
      <w:r>
        <w:rPr>
          <w:u w:val="single"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סכסוך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עקף 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בו שהה המערער את רכבו של המתלונן ומהג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ירדו המערער ושלושה מהאחרים – כאשר המערער אחז בידו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והאחרים החזיקו אלה וקופיץ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האחרים החלו להכות בשמשת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המערער ירה במתלונן מספר יריות מטווח קצר אשר פגעו בצד השמאלי של חזהו ובזרועו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הצליח להימלט מהמקום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ופינה עצמו לבית החולים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בגזירת עונשו של המערער התחשב בית המשפט המחוזי בפגיעה הפיזית הקלה שנגרמה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u w:val="single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7049/20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אלטורה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באר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 xml:space="preserve">, </w:t>
      </w:r>
      <w:r>
        <w:rPr>
          <w:u w:val="single"/>
        </w:rPr>
        <w:t>26.6.22</w:t>
      </w:r>
      <w:r>
        <w:rPr>
          <w:rtl w:val="true"/>
        </w:rPr>
        <w:t xml:space="preserve">) –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130,000</w:t>
      </w:r>
      <w:r>
        <w:rPr>
          <w:rtl w:val="true"/>
        </w:rPr>
        <w:t xml:space="preserve"> ₪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 xml:space="preserve">.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ובזהירות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לוּ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להתקבל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u w:val="single"/>
          <w:rtl w:val="true"/>
          <w:lang w:eastAsia="he-IL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9560/17</w:t>
        </w:r>
      </w:hyperlink>
      <w:r>
        <w:rPr>
          <w:rFonts w:cs="David" w:ascii="David" w:hAnsi="David"/>
          <w:u w:val="single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בהאא עויסאת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פורסם באר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  <w:lang w:eastAsia="he-IL"/>
        </w:rPr>
        <w:t>21.5.20</w:t>
      </w:r>
      <w:r>
        <w:rPr>
          <w:rFonts w:cs="David" w:ascii="David" w:hAnsi="David"/>
          <w:rtl w:val="true"/>
          <w:lang w:eastAsia="he-IL"/>
        </w:rPr>
        <w:t xml:space="preserve">) -  </w:t>
      </w:r>
      <w:r>
        <w:rPr>
          <w:rFonts w:ascii="David" w:hAnsi="David"/>
          <w:rtl w:val="true"/>
          <w:lang w:eastAsia="he-IL"/>
        </w:rPr>
        <w:t>נדון ערעורו של תושב מזרח ירושלים שהורשע בעבירות של ניסיון לרצח והחזקת סכין לאחר שהגיע לשכונה הסמוכה לאזור מגוריו מצויד בסכין מטבח ותר אחר קרבן יהודי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לבקשת שוטר שהוזעק למקום הרים</w:t>
      </w:r>
      <w:r>
        <w:rPr>
          <w:rFonts w:ascii="David" w:hAnsi="David"/>
          <w:rtl w:val="true"/>
        </w:rPr>
        <w:t xml:space="preserve"> המערער את ידו 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את ידו הימנית הצמיד אל הגדר שלצדו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המערער להרים את ידו על מנת לפגוע בשוטר שעמד מולו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בטרם הספיק לעשות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 השוטרים בלהב הסכין המבצבצת משרוולו והשתלטו עליו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בית המשפט המחוזי גזר על המערער </w:t>
      </w:r>
      <w:r>
        <w:rPr>
          <w:rFonts w:cs="David" w:ascii="David" w:hAnsi="David"/>
          <w:lang w:eastAsia="he-IL"/>
        </w:rPr>
        <w:t>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שנות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העליון קיבל את הערעור על חומרת העונש והעמיד את עונשו על </w:t>
      </w:r>
      <w:r>
        <w:rPr>
          <w:rFonts w:cs="David" w:ascii="David" w:hAnsi="David"/>
          <w:lang w:eastAsia="he-IL"/>
        </w:rPr>
        <w:t>14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שנות מאסר בפועל זאת בשל כך שהעונש שנגזר עליו תואם מקרים חמורים יותר בהם נפגעה בפועל שלמות גופו של אדם וכן נוכח העדר עבר פלילי ונסיבותיו האישיות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יובהר כי אירוע זה התרחש טרם כניסתו לתוקף של חוק המאבק בטרור שהחמיר את הענישה בגין מעשה טרור של ניסיון לרצח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u w:val="single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8309/03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מייק מויאל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פורסם בנבו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3.1.05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נדון ערעורו של המערער על הרשעתו בשני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לאישום הראשון הערעור התקבל והמערער הורשע בעבירת האיומים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עניינו של האישום השני בעבירות של ניסיון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שוטרים בנסיבות מחמירות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 בעת ניסיון לעצרו דרך וכיוון המערער אקדח לעבר שוטר ולאחר שהשוטרים קפצו עליו לחץ על ההדק אך לא נורתה ירייה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הפחית את עונשו מעשר שנות מאסר בפועל לשמונה שנים מאסר בפועל זאת עשה תוך התחשבות בנסיבותיו האישיות 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בכללן הנזק המוחי ממנו סובל ומצבו הנפשי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לעבירת נשיאת הנשק וירי מנשק חם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u w:val="single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ראפאת נבארי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פורסם באר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cs="David" w:ascii="David" w:hAnsi="David"/>
          <w:u w:val="single"/>
        </w:rPr>
        <w:t>2.7.20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הורשע המשיב על סמך הודאתו במסגרת הסדר טיעון בעבירות של נשיאה והובלה של נשק ובירי מנשק חם באזור מגורים ונגזרו עליו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נהג ברכב כשברשותו תת מקלע מאולתר מסוג 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היה דרוך ובו מחסנית טעונה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מסיבה בלתי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ירה שני כדורים באזור מגורים ועזב את המקום ברכבו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עצר המשיב את רכבו בחניית עפר ויצא מהרכב כשברשותו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שהמשיב הבחין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הגיעו למקום בעקבות דווח תושבים על אירוע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הנשק מידיו ארצה ובהמשך נעצר על ידי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והעמיד את 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שקבע כי הרף התחתון של מתחם העונש ההולם צריך להיות גבוה משמעותית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Calibri" w:hAnsi="Calibri" w:cs="Calibri"/>
          <w:u w:val="single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6068/21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מדינת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ישראל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אברהים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פקיה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פורסם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באר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cs="Calibri" w:ascii="Calibri" w:hAnsi="Calibri"/>
          <w:u w:val="single"/>
        </w:rPr>
        <w:t>19.12.21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ביצוע העבירה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האמורים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פגיעה חמורה וקשה בערכים החברתיים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ברקע מעשיו של הנאשם עומד סכסוך בין שני פלגים ממשפחת אבו אלקיעאן שטיבו אינו ידוע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בתוך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נדמה כי כולם באשר הם רואים עצמם חלק מאותו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די בעימות קטן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ניצוץ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מנת שרבים מכל צד יגיעו ויצטרפו עד מהרה לכדי קטטה המונית אלימה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מלמדנו כי בין המנוח לבין הנאשם התפתחה מריבה בכביש פנימי בחורה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במהלכה השניים הגיעו לשטח עפר והמנוח פגע עם רכבו בצדו השמאלי של רכב הסקודה בו נהג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יצאו ובתוך כך הגיעו מעורבים נוספים והתפתחה קטטה רבת משתתפים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לרכב הסקודה ונסע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מצופה היה מהנאשם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שיש לצפות מכל מי שנטען לגביו כי הוא אדם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בשלב זה ככל שלשיטתו נגרם לו עוול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למשטרה ויבקש את עזרתה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נכון היה לקוות כי עזיבת המקום יהיה בה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לצנן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 רוח הקרב של הנאשם ותמנע את התדרדרותו של האירוע לכדי פסים אלימים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זו בלבד שהנאשם נמנע מלפנות לגורמי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זה גמלה בליבו להמית את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בדברי הנאשם  לקצינת המבחן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באזור בו הוא מתגורר נהוג להגיב על מקרה אלימות ולהשתמש בנשק והוא עצמו ידע על קיומו של נשק במקום מסוים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פעל מתוך תחושות של השפלה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הנמכה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כאב וצורך להרתיע אותם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לנקום על הפגיעה בו ולמנוע תיוגו כבחור חלש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ואכן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 מאותה החלטה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הצטייד באקדח ולאחר מספר דקות חזר לאותה נקודה שבה התפתחה הקטטה כשהוא נוהג ברכב הסקודה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>אף שברשותו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בחר לממש את כוונת הרצח על ידי כך ששעט ברכבו לעבר </w:t>
      </w:r>
      <w:r>
        <w:rPr>
          <w:rFonts w:ascii="David" w:hAnsi="David"/>
          <w:u w:val="single"/>
          <w:rtl w:val="true"/>
        </w:rPr>
        <w:t>המנוח ולעבר אנשים נוספים</w:t>
      </w:r>
      <w:r>
        <w:rPr>
          <w:rFonts w:ascii="David" w:hAnsi="David"/>
          <w:rtl w:val="true"/>
        </w:rPr>
        <w:t xml:space="preserve"> שעמדו לידו בכוונה לגרום למותו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למזלם של אותם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כמו גם המנוח הבחינו בנאשם שועט לעברם והצליחו להימלט בריצה טרם פגיעת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בדין נטען על ידי בא כוח המאשימה כי נהיגתו הפרועה של הנאשם אל עבר קבוצת הנוכחים במקום משולה לכדור שכבר נורה מהרובה בדרכו לפגוע בקורבן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/>
      </w:pPr>
      <w:r>
        <w:rPr>
          <w:rFonts w:ascii="David" w:hAnsi="David"/>
          <w:rtl w:val="true"/>
        </w:rPr>
        <w:t>רכב מטיבו וטבעו תוכנן להסיע אנשים בנוחות ובבטיחות ממקום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שבו הוא נהוג בכוונת מכוון לעבר קבוצת אנשים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גדול אף יותר מאשר שימוש באקדח או כלי ירייה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לדאבוננו המציאות מלמדת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למשל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סנאד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/>
        <w:t>21.8.22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אלקאדי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: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before="120" w:after="120"/>
        <w:ind w:start="567" w:end="567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המערער שש אלי קרב לקטטה שהתפתחה בעיר רהט בין בני משפחתו לבין בני משפחת אלנססרה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ובמקום להסתלק מהמקום לאחר שהוכה בראשו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נכנס לרכב מונע ונסע לכיוון הצומת אשר בה אותה העת עמדו עשרות אנשים בהם גם חדרה והמנוח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בנסיעתו פגע בחדרה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העיף אותה לצדי הכביש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והמשיך בנסיעה מהירה עד אשר פגע במנוח חרף העובדה שסימן למערער לעצור את נסיעתו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המערער לא עצר את רכבו כדי להגיש עזרה למנוח ולדודתו השרועים על הכביש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ונעצר רק לאחר שפגע ברכבים אחרים שחנו בסמוך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בכך אין סגי שכן גם לאחר שהתנגש בעוצמה ברכב הטויוטה וגרם לו נזקים כבדים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יצא מרכבו וירה באמצעות האקדח שברשותו כדור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עצם ההגעה של הנאשם לקטטה המונית אלימה כשהוא מצויד באקדח גם אם לא היה עושה בו כל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 נסיבה לחומרא המצדיקה החמרה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יודגש כי אין המדובר בסיטואציה שבה נאשם מנסה לרצוח באמצעות אקדח שאז נשיאת האקדח והשימוש בו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נבלעים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בעונש של עבירת ניסיון הרצח הגם שמדובר בעבירה נפרדת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יתרה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הנאשם ירה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נדמה כי השימוש בנשק חם בסיטואציה הנתונה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מבחינה פוטנציאלית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להלהיט את הרוחות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זה לא ניתן לשלול כי מי מבין הנוכחים הרבים שבמקום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שאינו מבחין מי יורה ולאן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יכול לטעות ולחשוב כי בשלב זה המעורבים בקטטה החלו עושים 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מלמדנו כי בנוסף לאותה ירייה נורו אחריה יריות נוספות בנסיבות שאינן ידועות למאשימה שהובילו למותו של המנוח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>לשון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של נשיאת נשק והירי תוך סיכון חיי אדם אינם 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סרח עודף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לעבירת ניסיון הרצח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מעשים אלו לבדם מצדיקים השתת עונש מאסר בפועל חמור יותר מזה שעותרת לו ההגנה בגין מכלול העבירות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 זה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דברי בית המשפט העליון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>] (</w:t>
      </w:r>
      <w:r>
        <w:rPr>
          <w:rFonts w:ascii="David" w:hAnsi="David"/>
          <w:rtl w:val="true"/>
        </w:rPr>
        <w:t>פורסם באר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rtl w:val="true"/>
        </w:rPr>
        <w:t>"):</w:t>
      </w:r>
      <w:r>
        <w:rPr>
          <w:rFonts w:cs="Arial" w:ascii="David" w:hAnsi="David"/>
          <w:b/>
          <w:bCs/>
          <w:sz w:val="22"/>
          <w:szCs w:val="22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מפסיקתו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לחומרא או לקולא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ובדומה ר</w:t>
      </w:r>
      <w:r>
        <w:rPr>
          <w:rFonts w:cs="David" w:ascii="David" w:hAnsi="David"/>
          <w:rtl w:val="true"/>
        </w:rPr>
        <w:t xml:space="preserve">'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באר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28.7.22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 xml:space="preserve">לא למיותר להוסיף בהקשר לאמור כי אין בידי בית המשפט לקבל טענת ההגנה ולפיה הירייה באוויר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מלמדת שנגמר לו הרצון לגרום למותו של המנוח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משהגיעו הצדדים לניסוח כתב אישום מתוקן לאחר הידברות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ככל שהיה מקום לטענה שכזו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עליה למצוא את ביטויה המפורש בניסוח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על הנאשם להביא ראיות להוכיח זאת בהתאם להוראת 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מצאנו להתייחס לתיאור העובדתי של הנאשם כמפורט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להתרחשות האלימה שקדמה להחלטתו לנסות ולרצוח את המנוח ככל שהוא מצוי בסתירה לכתב האישום המתוקן או מוסיף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7349/14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ברון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14.5.15</w:t>
      </w:r>
      <w:r>
        <w:rPr>
          <w:rFonts w:cs="Calibri" w:ascii="Calibri" w:hAnsi="Calibri"/>
          <w:rtl w:val="true"/>
        </w:rPr>
        <w:t>).:</w:t>
      </w:r>
    </w:p>
    <w:p>
      <w:pPr>
        <w:pStyle w:val="Normal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הרלוונטיות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נועד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לתחום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שתוקן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שתוקן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משקפים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ההסכמות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בהינתן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בעובדות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מתוקן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שומה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הערכאה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שפורטו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ושבהן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בבואו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עובדות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נכללו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2556/17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חנניאייב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8.8.18</w:t>
      </w:r>
      <w:r>
        <w:rPr>
          <w:rFonts w:cs="Calibri" w:ascii="Calibri" w:hAnsi="Calibri"/>
          <w:rtl w:val="true"/>
        </w:rPr>
        <w:t xml:space="preserve">)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העדר המורא של הנאשם הלך רוחו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ורצונו לנקום בכל מחיר ניתן ללמוד מהעובדה שגם לאחר שהמנוח נורה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עוזב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אדרבא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ממשיך ונוטל חלק בקטטה שהתפתחה 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רק בסמוך לאחר מכן הוא בורח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היה זה שהביא למותו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מהעובדה שאגב ניסיון 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הירי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והשתתפותו הפעילה בקטטה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המנוח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שבמותו רצה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מצא את 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בכך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לצבוע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ולו מבחינת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סובב ומסובב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בחומרה יתרה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ושוב 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 לייחס לנאשם בכל דרך שהיא את הירי הקטלני ונגזרת מכך להחמיר בעונשו מעבר לחומרה שכבר קיימת 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כמכלול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לנו באירוע אלימות קשה ומתמשך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היו מספר הזדמנויות להתעשת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להבין הפסול במעשיו ולחדול מלנקוט באלימות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רק שלא עשה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נכח באירוע לכל אורכו ונטל בו חלק פעיל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לאור האמור וכסיכום ביניים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מתחם העונש ההולם בגין מכלול מעשיו של הנאשם נע בין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ענישה נלוות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</w:rPr>
        <w:t xml:space="preserve">בקביעת עונשו של הנאשם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נרתם להליך טיפולי במסגרת מעצרו ובהמשך במסגרת מרכז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בדאיאת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התרשמות שירות המבחן כמו גם גורמי הטיפול במרכז כי הנאשם עושה מאמצים כנים לבחון את 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מביע מוטיבציה להבנת הדינאמיקה שהובילה להסתבכותו ורוכש כלים להתמודדות מטיבה במצבי לחץ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מגלה פתיחות רגשית ומחשבתית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חושף תכנים מחייו ומשתף פעולה באופן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מעריך כי השתלבותו בהליך הטיפולי מפחיתה את הסיכון הנשקף ממנו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משקל לשיקולי הרתעת היחיד ובפרט יש לתת משקל רב לשיקולי הרתעת 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לצערנו הרב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הנאשם לפיהם באזור בו הוא מתגורר נהוג להגיב על מקרה אלימות באלימות שכנגד תוך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משקפים את המציאות לאשורה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 על דברים של מה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מובילים לעשיית דין עצמי שלאחריו הצד שכנגד תובע את עלבונו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וחוזר חלילה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התארכותה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שרשרת האלימות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הסכסוך המקורי נשכח וכל צד עסוק לנקום את הפגיעה האחרונה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דברי הנאשם לפיהם במסגרת הסכסוך הספציפי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דודו נרצח כנקמת דם ושני דודיו הנוספים עברו ניסיונות 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בעצמו חושש כי יפגעו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הנם עדות עגומה למציאות הבלתי נסבלת בה נתונים רבים מתושבי האזור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המקרה שלפנינו אינו אלא דוגמה נוספת לאלימות הגואה בחברה הישראלית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ובחברה הערבית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1745/20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11.2.21</w:t>
      </w:r>
      <w:r>
        <w:rPr>
          <w:rFonts w:cs="Calibri" w:ascii="Calibri" w:hAnsi="Calibri"/>
          <w:rtl w:val="true"/>
        </w:rPr>
        <w:t xml:space="preserve">):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לדברים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התדירות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נתפסת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הערבי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להעביר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מחוזות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אוכלוסייתה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והנוטל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ייענש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במלוא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המתחייבת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גרוסקופף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מבלי להקל ראש בהליך הטיפולי אותו הנאשם עבר כמו גם יתר מאפייניו האישיים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בדעה כי בעבירות בהן חטא הנאשם יש לתת את הבכורה לשיקולי הגמול והרתעת הרבים 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דברי בית המשפט בעניין פלוני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שנאמרו ביחס לעבירות נשק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'...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'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 xml:space="preserve">'...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לא נצא חובתנו אם נסתפק ברטוריקה מחמירה שאין לצדה תוצאה עונשית הולמת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אינו יכול לעמוד מנגד נוכח הזילות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עלינו לתרום תרומתנו </w:t>
      </w:r>
      <w:r>
        <w:rPr>
          <w:rFonts w:ascii="Calibri" w:hAnsi="Calibri" w:cs="Calibri"/>
          <w:rtl w:val="true"/>
        </w:rPr>
        <w:t>במלחמה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>פסילת רישיון נהיגתו של הנאשם</w:t>
      </w:r>
      <w:r>
        <w:rPr>
          <w:rFonts w:cs="David" w:ascii="David" w:hAnsi="David"/>
          <w:b/>
          <w:bCs/>
          <w:u w:val="single"/>
          <w:rtl w:val="true"/>
          <w:lang w:val="en-IL" w:eastAsia="en-IL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ההסדר בין הצדדים לא כלל רכיב עונשי הנוגע לפסילת רישיונו של הנאשם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גם לאחר שבית המשפט הביע את פליאתו על כך במעמד הטיעונים לעונש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שני הצדדים ביקשו לדבוק בהסדר המקורי ולהימנע מלהשית על הנאשם עונש פסילה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 xml:space="preserve">בא כוח הנאשם הוסיף וטען כי מקום בו לא נגרם כל נזק פיזי והיות שהנאשם למעשה נוהג כבר שנה ברכב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מאז שחרורו ממעצר</w:t>
      </w:r>
      <w:r>
        <w:rPr>
          <w:rFonts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/>
          <w:rtl w:val="true"/>
          <w:lang w:val="en-IL" w:eastAsia="en-IL"/>
        </w:rPr>
        <w:t>ניתן להורות כי הפסילה תהיה על תנאי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  <w:lang w:val="en-IL" w:eastAsia="en-IL"/>
        </w:rPr>
        <w:t>לא נכחד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נפלא מבינתנו הכיצד אדם שהתרשל ושגה בנהיגתו רשיונו נפסל אך בתיק בו נאשם שעולה על רכב ככלי נשק בידו ושועט לעבר קבוצת אנשים על מנת לנסות לגרום לקטילתו של המנוח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המאשימה אינה סבורה כי נכון יהיה למנוע ממנו לאחוז בהגה לתקופה ממושכת ביותר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עמדה מעין זו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מתעלמת לחלוטין מהאינטרס הציבורי ובפועל מעמידה אותו בסיכון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 xml:space="preserve">הצורך בפסילת רישיונו של הנאשם עולה בקנה אחד גם עם הוראת </w:t>
      </w:r>
      <w:hyperlink r:id="rId37">
        <w:r>
          <w:rPr>
            <w:rStyle w:val="Hyperlink"/>
            <w:rFonts w:ascii="David" w:hAnsi="David"/>
            <w:rtl w:val="true"/>
            <w:lang w:val="en-IL" w:eastAsia="en-IL"/>
          </w:rPr>
          <w:t xml:space="preserve">סעיף </w:t>
        </w:r>
        <w:r>
          <w:rPr>
            <w:rStyle w:val="Hyperlink"/>
            <w:rFonts w:cs="David" w:ascii="David" w:hAnsi="David"/>
            <w:lang w:val="en-IL" w:eastAsia="en-IL"/>
          </w:rPr>
          <w:t>43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פקודת התעבורה</w:t>
        </w:r>
      </w:hyperlink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[</w:t>
      </w:r>
      <w:r>
        <w:rPr>
          <w:rFonts w:ascii="David" w:hAnsi="David"/>
          <w:rtl w:val="true"/>
          <w:lang w:val="en-IL" w:eastAsia="en-IL"/>
        </w:rPr>
        <w:t>נוסח חדש</w:t>
      </w:r>
      <w:r>
        <w:rPr>
          <w:rFonts w:cs="David" w:ascii="David" w:hAnsi="David"/>
          <w:rtl w:val="true"/>
          <w:lang w:val="en-IL" w:eastAsia="en-IL"/>
        </w:rPr>
        <w:t xml:space="preserve">] </w:t>
      </w:r>
      <w:r>
        <w:rPr>
          <w:rFonts w:ascii="David" w:hAnsi="David"/>
          <w:rtl w:val="true"/>
          <w:lang w:val="en-IL" w:eastAsia="en-IL"/>
        </w:rPr>
        <w:t>שזו לשונה</w:t>
      </w:r>
      <w:r>
        <w:rPr>
          <w:rFonts w:cs="David" w:ascii="David" w:hAnsi="David"/>
          <w:rtl w:val="true"/>
          <w:lang w:val="en-IL" w:eastAsia="en-IL"/>
        </w:rPr>
        <w:t xml:space="preserve">: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before="120" w:after="120"/>
        <w:ind w:start="567" w:end="567"/>
        <w:jc w:val="both"/>
        <w:rPr/>
      </w:pP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>בעל רשיון נהיגה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 או בעל רשיון רכב </w:t>
      </w: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>שהורשע על עוון או על פשע שביצועם נתאפשר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 או הוקל עקב נהיגתו ברכב או עקב השימוש ברכב שיש לו רשיון עליו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>בית המשפט שהרשיעו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>רשאי – בנוסף על כל עונש אחר – לפסול אותו מהחזיק רשיון כאמור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 xml:space="preserve">לצמיתות </w:t>
      </w:r>
      <w:r>
        <w:rPr>
          <w:rFonts w:ascii="David" w:hAnsi="David"/>
          <w:b/>
          <w:b/>
          <w:bCs/>
          <w:rtl w:val="true"/>
          <w:lang w:val="en-IL" w:eastAsia="en-IL"/>
        </w:rPr>
        <w:t>או לתקופה מסויימת</w:t>
      </w:r>
      <w:r>
        <w:rPr>
          <w:rFonts w:cs="David" w:ascii="David" w:hAnsi="David"/>
          <w:b/>
          <w:bCs/>
          <w:rtl w:val="true"/>
          <w:lang w:val="en-IL" w:eastAsia="en-IL"/>
        </w:rPr>
        <w:t>.</w:t>
      </w:r>
      <w:r>
        <w:rPr>
          <w:rFonts w:cs="David" w:ascii="David" w:hAnsi="David"/>
          <w:rtl w:val="true"/>
          <w:lang w:val="en-IL" w:eastAsia="en-IL"/>
        </w:rPr>
        <w:t>".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העובדה כי החוק נוקט כאפשרות ראשונה פסילת רישיון לצמיתות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מלמדת על החומרה בה הוא רואה סיטואציות בהן עבירות פשע מתאפשרות באמצעות שימוש ברכב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הואיל ואין באיזונים שערכה המאשימה ביחס לרכיב זה בהגיעה להסדר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בכלל ערכה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כל מענה לאינטרס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נחרוג מגבולות ההסכמה אליה הגיעו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אנו עושים גם בהסתמך על ההלכה המנחה הנוגעת להסדרי טיעון כאמור 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בייניש</w:t>
      </w:r>
      <w:r>
        <w:rPr>
          <w:rFonts w:cs="David" w:ascii="David" w:hAnsi="David"/>
          <w:rtl w:val="true"/>
        </w:rPr>
        <w:t>]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25.12.02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אשר לצד העמידה על החשיבות הרבה בכיבודם קבעה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ind w:start="567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משאמרנו כל שניתן לומר בשבחו של הסדר הטיעון המהווה שיקול מרכזי בגזירת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נוסיף ונאמר כי כל יתרונותיו אינם חזות הכל ומצויים הם על כף אחת של המאזניים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הכף האחרת מצויים המקרים אשר בהם האינטרס הציבורי יחייב עמידה איתנה של התביעה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ללא קיצורי דרך וללא הקלות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אם באלה תערוך התביעה הסדר טיעון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תעמוד היא לביקורתו של 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ויהיה בכך נימוק לדחיית הסדר הטיעון לעונש</w:t>
      </w:r>
      <w:r>
        <w:rPr>
          <w:rFonts w:cs="David" w:ascii="David" w:hAnsi="David"/>
          <w:rtl w:val="true"/>
        </w:rPr>
        <w:t xml:space="preserve">. [...]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יראה לקיים את הסדר הטיעון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בשל הטעמים הקשורים בחשיבותם ובמעמדם של הסדרי הטיעון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עם זאת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תמיד חייב 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 עצמו לשקול את השיקולים הראויים לעונש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שכן תפקידו ואחריותו אינם מאפשרים לו להסתתר מאחורי גבה של התביעה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במסגרת בחינתו של העונש המוצע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ייתן 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 דעתו לכל שיקולי הענישה הרלוונטיים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ויבחן אם מקיים העונש המוצע את האיזון הדרוש ביניהם</w:t>
      </w:r>
      <w:r>
        <w:rPr>
          <w:rFonts w:cs="David" w:ascii="David" w:hAnsi="David"/>
          <w:b/>
          <w:bCs/>
          <w:u w:val="single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לשם 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יבחן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את העונש ההולם בנסיבות העניין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וישקיף עליו גם באספקלריה שהעמידה לרשותו התביעה בהסדר הטיעון שערכה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בבחינת הסדר הטיעון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נקודת המוצא היא מידת העונש המוצע בשים לב לסוג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לחומרתה ולנסיבות ביצועה</w:t>
      </w:r>
      <w:r>
        <w:rPr>
          <w:rFonts w:cs="David" w:ascii="David" w:hAnsi="David"/>
          <w:b/>
          <w:bCs/>
          <w:rtl w:val="true"/>
        </w:rPr>
        <w:t>..." 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76"/>
        <w:ind w:end="0"/>
        <w:jc w:val="both"/>
        <w:rPr/>
      </w:pPr>
      <w:r>
        <w:rPr>
          <w:rFonts w:ascii="David" w:hAnsi="David"/>
          <w:rtl w:val="true"/>
        </w:rPr>
        <w:t>בדומה ראה</w:t>
      </w:r>
      <w:r>
        <w:rPr>
          <w:rFonts w:cs="Times New Roman"/>
          <w:rtl w:val="true"/>
          <w:lang w:eastAsia="he-IL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  <w:lang w:eastAsia="he-IL"/>
          </w:rPr>
          <w:t>דנ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1187/03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/>
          <w:bCs/>
          <w:rtl w:val="true"/>
          <w:lang w:eastAsia="he-IL"/>
        </w:rPr>
        <w:t>ד</w:t>
      </w:r>
      <w:r>
        <w:rPr>
          <w:b/>
          <w:b/>
          <w:bCs/>
          <w:rtl w:val="true"/>
          <w:lang w:eastAsia="he-IL"/>
        </w:rPr>
        <w:t>י</w:t>
      </w:r>
      <w:r>
        <w:rPr>
          <w:b/>
          <w:b/>
          <w:bCs/>
          <w:rtl w:val="true"/>
          <w:lang w:eastAsia="he-IL"/>
        </w:rPr>
        <w:t>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חשין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tl w:val="true"/>
          <w:lang w:eastAsia="he-IL"/>
        </w:rPr>
        <w:t>]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31.3.2005</w:t>
      </w:r>
      <w:r>
        <w:rPr>
          <w:rtl w:val="true"/>
          <w:lang w:eastAsia="he-IL"/>
        </w:rPr>
        <w:t>):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start="567" w:end="567"/>
        <w:jc w:val="both"/>
        <w:rPr>
          <w:b/>
          <w:bCs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ואולם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נזכור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ונשמור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שבסוף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כל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הסופות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המכריע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לשבט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לחסד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לשבט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הסמכות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והכוח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עיקר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האחריות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כתפי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מונחת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ומילתו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והקובעת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נדע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מכאן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עמדתה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התביעה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לגזירת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חשובה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שתהא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המרכיבים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בשיקול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דעתו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מרכיב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חשוב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מרכיב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מרכזי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ספק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כנגדו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ובצדיו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יתייצבו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המתאימים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כבדי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העשויים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למעט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ממשקלו</w:t>
      </w:r>
      <w:r>
        <w:rPr>
          <w:b/>
          <w:bCs/>
          <w:rtl w:val="true"/>
          <w:lang w:eastAsia="he-IL"/>
        </w:rPr>
        <w:t xml:space="preserve">."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יוער כי לו רכיב עונשי זה מלכתחילה היה מונח לפתחינו כחלק מההסדר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או אז היה לטעמנו מקום לפסול את הנאשם מלהחזיק רישיון למשך שנים רבות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ברם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מקום שבו השתת העונש נעשית תוך סטייה מההסדר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תקופת הפסילה תהא מתונה יותר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  <w:lang w:val="en-IL" w:eastAsia="en-IL"/>
        </w:rPr>
        <w:t>רכיב הפיצוי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: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/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לפיצוי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תכליתה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הוראת</w:t>
      </w:r>
      <w:r>
        <w:rPr>
          <w:rFonts w:cs="Times New Roman"/>
          <w:rtl w:val="true"/>
          <w:lang w:val="en-IL" w:eastAsia="en-IL"/>
        </w:rPr>
        <w:t xml:space="preserve"> </w:t>
      </w:r>
      <w:hyperlink r:id="rId41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77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42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להעמיד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עיניו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סבלם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מהמגמה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המתעצמת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להעלות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מעמדם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ולהכיר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בזכויותיהם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הפלילי</w:t>
      </w:r>
      <w:r>
        <w:rPr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 xml:space="preserve">הפיצוי מהווה כמעין 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עזרה ראשונה</w:t>
      </w:r>
      <w:r>
        <w:rPr>
          <w:rFonts w:cs="Arial" w:ascii="Arial" w:hAnsi="Arial"/>
          <w:rtl w:val="true"/>
          <w:lang w:val="en-IL" w:eastAsia="en-IL"/>
        </w:rPr>
        <w:t xml:space="preserve">" </w:t>
      </w:r>
      <w:r>
        <w:rPr>
          <w:rFonts w:ascii="Arial" w:hAnsi="Arial" w:cs="Arial"/>
          <w:rtl w:val="true"/>
          <w:lang w:val="en-IL" w:eastAsia="en-IL"/>
        </w:rPr>
        <w:t xml:space="preserve">לנפגעי העבירה מבלי שזה נדרש להוכיח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מתביעה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אזרחית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</w:t>
      </w:r>
      <w:r>
        <w:rPr>
          <w:rtl w:val="true"/>
          <w:lang w:val="en-IL" w:eastAsia="en-IL"/>
        </w:rPr>
        <w:t xml:space="preserve">' </w:t>
      </w:r>
      <w:hyperlink r:id="rId43">
        <w:r>
          <w:rPr>
            <w:rStyle w:val="Hyperlink"/>
            <w:color w:val="0000FF"/>
            <w:spacing w:val="10"/>
            <w:u w:val="single"/>
            <w:rtl w:val="true"/>
            <w:lang w:val="en-IL" w:eastAsia="en-IL"/>
          </w:rPr>
          <w:t>דנ</w:t>
        </w:r>
        <w:r>
          <w:rPr>
            <w:rStyle w:val="Hyperlink"/>
            <w:color w:val="0000FF"/>
            <w:spacing w:val="10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spacing w:val="10"/>
            <w:u w:val="single"/>
            <w:lang w:val="en-IL" w:eastAsia="en-IL"/>
          </w:rPr>
          <w:t>5625/16</w:t>
        </w:r>
      </w:hyperlink>
      <w:r>
        <w:rPr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אסרף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נ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טווק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בוקובזה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/>
          <w:rtl w:val="true"/>
          <w:lang w:val="en-IL" w:eastAsia="en-IL"/>
        </w:rPr>
        <w:t>[</w:t>
      </w:r>
      <w:r>
        <w:rPr>
          <w:b/>
          <w:b/>
          <w:rtl w:val="true"/>
          <w:lang w:val="en-IL" w:eastAsia="en-IL"/>
        </w:rPr>
        <w:t>פסקה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lang w:val="en-IL" w:eastAsia="en-IL"/>
        </w:rPr>
        <w:t>15</w:t>
      </w:r>
      <w:r>
        <w:rPr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לפסק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דינה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של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כב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הש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חיות</w:t>
      </w:r>
      <w:r>
        <w:rPr>
          <w:b/>
          <w:rtl w:val="true"/>
          <w:lang w:val="en-IL" w:eastAsia="en-IL"/>
        </w:rPr>
        <w:t>] 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בנבו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13.9.2017</w:t>
      </w:r>
      <w:r>
        <w:rPr>
          <w:rtl w:val="true"/>
          <w:lang w:val="en-IL" w:eastAsia="en-IL"/>
        </w:rPr>
        <w:t>)).</w:t>
      </w:r>
      <w:r>
        <w:rPr>
          <w:rFonts w:ascii="David" w:hAnsi="David"/>
          <w:rtl w:val="true"/>
          <w:lang w:val="en-IL" w:eastAsia="en-IL"/>
        </w:rPr>
        <w:t>ברגיל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נוכח התוצאה הטראגית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היה מקום להשית על הנאשם פיצוי משמעותי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אם לא תקרת הפיצויים האפשרית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ברם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במקרה הנדון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כאשר המנוח לא נפגע מרכבו של הנאשם וכאשר לא מיוחס לנאשם כי במעשיו הביא למות המנוח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הפיצוי יהיה יחסית במשורה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שתי הערות טרם סיום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זו הראשונה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נוגעת לכך ששירות המבחן מנבא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בנוסף לרמת הסיכון הכללית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ascii="David" w:hAnsi="David"/>
          <w:rtl w:val="true"/>
          <w:lang w:val="en-IL" w:eastAsia="en-IL"/>
        </w:rPr>
        <w:t xml:space="preserve">כי ככל שהנאשם יחטא בעתיד בעבירת אלימות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חומרתה תהיה נמוכה עד בינונית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הערכה זו לדעתנו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בלשון המעטה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חפה מקשיים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נחדש דבר אם נציין כי פעמים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ההבדל בין חבלה קשה ואף קטלנית לבין פציעה 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תלוי מזל וכלל לא קשור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הבדל של 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בעומק הפציעה או מיקומה הוא גם ההבדל בין חיים למוות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במקרה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איחור של שניות ספורות בזיהוי רכבו השועט של הנאשם יכול היה להביא ל</w:t>
      </w:r>
      <w:r>
        <w:rPr>
          <w:rFonts w:ascii="David" w:hAnsi="David"/>
          <w:rtl w:val="true"/>
        </w:rPr>
        <w:t>פגיעה קשה ברבים מהנוכחים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/>
      </w:pPr>
      <w:r>
        <w:rPr>
          <w:rFonts w:ascii="David" w:hAnsi="David"/>
          <w:rtl w:val="true"/>
          <w:lang w:val="en-IL" w:eastAsia="en-IL"/>
        </w:rPr>
        <w:t>הערה שניה נוגעת להליך הטיפולי אותו החל הנאשם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אכן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מדובר בתהליך מבורך וראוי ואולם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מעבר למשקלם המוגבר של שיקולי גמול והרתעה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אין לקבל את הדיכוטומיה הנטענת לפיה שליחתו של הנאשם למאסר תביא לגדיעתו של ההליך הטיפולי וכל הישגיו של הנאשם יירדו לטימיון</w:t>
      </w:r>
      <w:r>
        <w:rPr>
          <w:rFonts w:cs="David" w:ascii="David" w:hAnsi="David"/>
          <w:rtl w:val="true"/>
          <w:lang w:val="en-IL" w:eastAsia="en-IL"/>
        </w:rPr>
        <w:t xml:space="preserve">.  </w:t>
      </w:r>
      <w:r>
        <w:rPr>
          <w:rFonts w:ascii="David" w:hAnsi="David"/>
          <w:rtl w:val="true"/>
          <w:lang w:val="en-IL" w:eastAsia="en-IL"/>
        </w:rPr>
        <w:t>יפים לעניין זה דברי בית המשפט העליון ב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5655/13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טל עמרם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פסקה ה לפסק דינו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20.11.14</w:t>
      </w:r>
      <w:r>
        <w:rPr>
          <w:rFonts w:cs="David" w:ascii="David" w:hAnsi="David"/>
          <w:rtl w:val="true"/>
          <w:lang w:val="en-IL" w:eastAsia="en-IL"/>
        </w:rPr>
        <w:t>)</w:t>
      </w:r>
    </w:p>
    <w:p>
      <w:pPr>
        <w:pStyle w:val="Normal"/>
        <w:spacing w:before="120" w:after="120"/>
        <w:ind w:start="567" w:end="567"/>
        <w:jc w:val="both"/>
        <w:rPr>
          <w:rFonts w:ascii="Calibri" w:hAnsi="Calibri" w:cs="Calibri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על כל אלה יש להוסיף כי בפני המבקש לא ניצבות שתי דרכים בלבד – דרך השיקום והחזרה לחיים נורמטיביים ודרך המאסר והפשע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דרך נוספת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שהיא דרך המלך בנסיבות מצערות כגון אלה שלפנינו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הדרך של המשך שיקומו תוך ריצוי 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באמצעות התוכניות הטיפוליות השונות המוצעות בבית הסוהר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מתסקיר שירות המבחן עולה כי המבקש החל להבין את הפסול שבמעשיו ומבקש לתקן את דרכיו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לקוות כי דרך שלישית זו – היא הדרך הישרה שיבור לו המבקש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בכל 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המבקש להבין שלמעשים פליליים יש השלכות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ושהעונש שנגזר עליו מידתי והולם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254" w:before="0" w:after="160"/>
        <w:ind w:start="360"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254" w:before="0" w:after="160"/>
        <w:ind w:start="360"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מכל המקובץ לעיל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אנו גוזרים על הנאשם את העונשים 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/>
      </w:pPr>
      <w:bookmarkStart w:id="10" w:name="Nitan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2023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0"/>
    </w:p>
    <w:tbl>
      <w:tblPr>
        <w:tblpPr w:vertAnchor="text" w:horzAnchor="margin" w:tblpXSpec="center" w:leftFromText="180" w:rightFromText="180" w:tblpY="3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1"/>
        <w:gridCol w:w="2891"/>
        <w:gridCol w:w="2891"/>
      </w:tblGrid>
      <w:tr>
        <w:trPr/>
        <w:tc>
          <w:tcPr>
            <w:tcW w:w="289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נתן  זלוצ</w:t>
            </w:r>
            <w:r>
              <w:rPr>
                <w:rFonts w:cs="David" w:ascii="David" w:hAnsi="David"/>
                <w:rtl w:val="true"/>
              </w:rPr>
              <w:t>'</w:t>
            </w:r>
            <w:r>
              <w:rPr>
                <w:rFonts w:ascii="David" w:hAnsi="David"/>
                <w:rtl w:val="true"/>
              </w:rPr>
              <w:t>ובר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טולילה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  <w:tc>
          <w:tcPr>
            <w:tcW w:w="2891" w:type="dxa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לחיאני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end="0"/>
        <w:jc w:val="both"/>
        <w:rPr>
          <w:rFonts w:ascii="David" w:hAnsi="David" w:cs="David"/>
          <w:color w:val="FFFFFF"/>
          <w:sz w:val="2"/>
          <w:szCs w:val="2"/>
          <w:lang w:val="en-IL" w:eastAsia="en-IL"/>
        </w:rPr>
      </w:pPr>
      <w:r>
        <w:rPr>
          <w:rFonts w:cs="David" w:ascii="David" w:hAnsi="David"/>
          <w:color w:val="FFFFFF"/>
          <w:sz w:val="2"/>
          <w:szCs w:val="2"/>
          <w:lang w:val="en-IL" w:eastAsia="en-IL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  <w:lang w:val="en-IL" w:eastAsia="en-IL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53498-02-20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חמדה אבו אלקיעאן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j.b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0301/340a.b.2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43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40a.b.2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680922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law/70301/144.g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5585562" TargetMode="External"/><Relationship Id="rId23" Type="http://schemas.openxmlformats.org/officeDocument/2006/relationships/hyperlink" Target="http://www.nevo.co.il/case/24269594" TargetMode="External"/><Relationship Id="rId24" Type="http://schemas.openxmlformats.org/officeDocument/2006/relationships/hyperlink" Target="http://www.nevo.co.il/case/20243566" TargetMode="External"/><Relationship Id="rId25" Type="http://schemas.openxmlformats.org/officeDocument/2006/relationships/hyperlink" Target="http://www.nevo.co.il/case/27070289" TargetMode="External"/><Relationship Id="rId26" Type="http://schemas.openxmlformats.org/officeDocument/2006/relationships/hyperlink" Target="http://www.nevo.co.il/case/23507389" TargetMode="External"/><Relationship Id="rId27" Type="http://schemas.openxmlformats.org/officeDocument/2006/relationships/hyperlink" Target="http://www.nevo.co.il/case/5831049" TargetMode="External"/><Relationship Id="rId28" Type="http://schemas.openxmlformats.org/officeDocument/2006/relationships/hyperlink" Target="http://www.nevo.co.il/case/26492590" TargetMode="External"/><Relationship Id="rId29" Type="http://schemas.openxmlformats.org/officeDocument/2006/relationships/hyperlink" Target="http://www.nevo.co.il/case/27915710" TargetMode="External"/><Relationship Id="rId30" Type="http://schemas.openxmlformats.org/officeDocument/2006/relationships/hyperlink" Target="http://www.nevo.co.il/case/27608313" TargetMode="External"/><Relationship Id="rId31" Type="http://schemas.openxmlformats.org/officeDocument/2006/relationships/hyperlink" Target="http://www.nevo.co.il/case/28883087" TargetMode="External"/><Relationship Id="rId32" Type="http://schemas.openxmlformats.org/officeDocument/2006/relationships/hyperlink" Target="http://www.nevo.co.il/case/28697227" TargetMode="External"/><Relationship Id="rId33" Type="http://schemas.openxmlformats.org/officeDocument/2006/relationships/hyperlink" Target="http://www.nevo.co.il/law/70301/40j.b" TargetMode="External"/><Relationship Id="rId34" Type="http://schemas.openxmlformats.org/officeDocument/2006/relationships/hyperlink" Target="http://www.nevo.co.il/case/18131336" TargetMode="External"/><Relationship Id="rId35" Type="http://schemas.openxmlformats.org/officeDocument/2006/relationships/hyperlink" Target="http://www.nevo.co.il/case/22505399" TargetMode="External"/><Relationship Id="rId36" Type="http://schemas.openxmlformats.org/officeDocument/2006/relationships/hyperlink" Target="http://www.nevo.co.il/case/26518589" TargetMode="External"/><Relationship Id="rId37" Type="http://schemas.openxmlformats.org/officeDocument/2006/relationships/hyperlink" Target="http://www.nevo.co.il/law/5227/43" TargetMode="External"/><Relationship Id="rId38" Type="http://schemas.openxmlformats.org/officeDocument/2006/relationships/hyperlink" Target="http://www.nevo.co.il/law/5227" TargetMode="External"/><Relationship Id="rId39" Type="http://schemas.openxmlformats.org/officeDocument/2006/relationships/hyperlink" Target="http://www.nevo.co.il/case/161892" TargetMode="External"/><Relationship Id="rId40" Type="http://schemas.openxmlformats.org/officeDocument/2006/relationships/hyperlink" Target="http://www.nevo.co.il/case/5752835" TargetMode="External"/><Relationship Id="rId41" Type="http://schemas.openxmlformats.org/officeDocument/2006/relationships/hyperlink" Target="http://www.nevo.co.il/law/70301/77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1477594" TargetMode="External"/><Relationship Id="rId44" Type="http://schemas.openxmlformats.org/officeDocument/2006/relationships/hyperlink" Target="http://www.nevo.co.il/case/7977340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2024-05-05T08:05:00Z</dcterms:created>
  <dc:creator> </dc:creator>
  <dc:description/>
  <cp:keywords/>
  <dc:language>en-IL</dc:language>
  <cp:lastModifiedBy>h1</cp:lastModifiedBy>
  <dcterms:modified xsi:type="dcterms:W3CDTF">2024-05-05T08:05:00Z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חמדה אבו אלקיעאן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7680922;25824863;25585562;24269594;20243566;27070289;23507389;5831049;26492590;27915710;27608313;28883087;28697227;18131336;22505399;26518589;161892;5752835;21477594;7977340</vt:lpwstr>
  </property>
  <property fmtid="{D5CDD505-2E9C-101B-9397-08002B2CF9AE}" pid="9" name="CITY">
    <vt:lpwstr>ב"ש</vt:lpwstr>
  </property>
  <property fmtid="{D5CDD505-2E9C-101B-9397-08002B2CF9AE}" pid="10" name="DATE">
    <vt:lpwstr>20230105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זלוצ'ובר;דניאל בן טולילה;טל לחיאני שהם</vt:lpwstr>
  </property>
  <property fmtid="{D5CDD505-2E9C-101B-9397-08002B2CF9AE}" pid="14" name="LAWLISTTMP1">
    <vt:lpwstr>70301/305.1;144.b;340a.b.2;040c.a;144.g;040j.b;077</vt:lpwstr>
  </property>
  <property fmtid="{D5CDD505-2E9C-101B-9397-08002B2CF9AE}" pid="15" name="LAWLISTTMP2">
    <vt:lpwstr>5227/043</vt:lpwstr>
  </property>
  <property fmtid="{D5CDD505-2E9C-101B-9397-08002B2CF9AE}" pid="16" name="LAWYER">
    <vt:lpwstr>גיורא חזן;דוד יפתח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53498</vt:lpwstr>
  </property>
  <property fmtid="{D5CDD505-2E9C-101B-9397-08002B2CF9AE}" pid="23" name="NEWPARTB">
    <vt:lpwstr>02</vt:lpwstr>
  </property>
  <property fmtid="{D5CDD505-2E9C-101B-9397-08002B2CF9AE}" pid="24" name="NEWPARTC">
    <vt:lpwstr>20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390020230105</vt:lpwstr>
  </property>
  <property fmtid="{D5CDD505-2E9C-101B-9397-08002B2CF9AE}" pid="35" name="TYPE_N_DATE">
    <vt:lpwstr>39020230105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