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1"/>
        <w:gridCol w:w="2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06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54935-07-13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לביא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55070-07-13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דיין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6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1101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7398"/>
        <w:gridCol w:w="2673"/>
      </w:tblGrid>
      <w:tr>
        <w:trPr>
          <w:trHeight w:val="295" w:hRule="atLeast"/>
        </w:trPr>
        <w:tc>
          <w:tcPr>
            <w:tcW w:w="1101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נתן זלוצ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ובר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השופטת יעל רז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לוי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</w:t>
            </w:r>
          </w:p>
        </w:tc>
      </w:tr>
      <w:tr>
        <w:trPr>
          <w:trHeight w:val="355" w:hRule="atLeast"/>
        </w:trPr>
        <w:tc>
          <w:tcPr>
            <w:tcW w:w="834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67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739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בלנרו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673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00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 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ארבל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 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ליאה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ארבל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 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ושני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                                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מרדכי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 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</w:p>
        </w:tc>
        <w:tc>
          <w:tcPr>
            <w:tcW w:w="267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73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לסעיפים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01.07.13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02.07.13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07:45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09:45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נערכו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24/6/14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נערכו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במארב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מתייחס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המשותפת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בצוותא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פיזית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וחלקם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מופיע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פרטני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cs="Calibri" w:ascii="Calibri" w:hAnsi="Calibri"/>
          <w:b/>
          <w:bCs/>
          <w:rtl w:val="true"/>
        </w:rPr>
        <w:t xml:space="preserve">."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20.07.12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09:45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וטקביץ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הסקודה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ובהימלטות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עוקבים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     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שחיפשו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מחפשים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כרטיס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שבמירון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לנוסעי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וטקביץ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והזניח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ותוצאותיה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האפילפסיה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אפילפסיה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השתחרר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אכזבה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בקפידה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מכרעת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קיפדו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פיגוע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דרמטיים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36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firstLine="36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firstLine="36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אביקסיס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גרעין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התורני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color w:val="FF0000"/>
          <w:u w:val="single"/>
        </w:rPr>
      </w:pPr>
      <w:r>
        <w:rPr>
          <w:rFonts w:cs="Calibri" w:ascii="Calibri" w:hAnsi="Calibri"/>
          <w:b/>
          <w:bCs/>
          <w:color w:val="FF0000"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בצנחנים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לקהילה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והתבגרותו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נתגלתה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הסרטן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לקורבנות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הפסיכולוגית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הפסיכולוג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הפסיכולוג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בפסיכולוג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סוציואקונומי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בפתאומיות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מיוזמתו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אשדוד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אפילפסיה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גלגלים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מאפילפסיה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מפקדיו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נפחא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הופתעו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הסוציואקונומי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ובחינוך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ביצעו עבירה חמורה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חומרתה של העבירה נעוצה בנסיבות 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גמרו אומר בליבם לחבול במתלונן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האמצעים כשרים על מנת להשיג את מטרתם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האפשרות הממשית לפגיעה קטלנית בנוסעים הנוספים ברכב ובחפים מפשע שנקלעו במקרה לזירת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בוצעה לאחר תכנון והכנה מדוקדקים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שימוש בנשק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המיקום שנבחר לביצוע העבירה הוא צומת סואן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נוסעים כלי רכב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והשעה שנבחרה היא שעת בוקר בה ירה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פחות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ורק בנס הסתיים האירוע בלא קיפוח 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לסגור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חשבונות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cs="Arial" w:ascii="Arial" w:hAnsi="Arial"/>
        </w:rPr>
        <w:t>05.08.13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276" w:before="0" w:after="200"/>
        <w:ind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0"/>
        <w:ind w:start="720" w:end="426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האלימות הגואה במקומותינו אינה גזירת גורל ולא כורח המציאות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צורך לשנות את המאזן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במקום שאזרחים ישרים תמימי דרך יראו ויראו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יחששו לביטחונם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יהיו אלה העבריינים האלימים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בכוח ובפועל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שאימת הדין תיפול עליהם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והם יירתעו מפני שימוש בנשק קר וחם לשם חיסול חשבונות בעשיית דין עצמית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שינוי המאזן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הסבת יראת האנשים התמימים לאימת אנשי המדון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צריך להיעשות גם באכיפה ובענישה קשה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 w:before="0" w:after="200"/>
        <w:ind w:end="426"/>
        <w:contextualSpacing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השורש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200"/>
        <w:ind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שהטמינו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שחפרו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  <w:br/>
      </w:r>
    </w:p>
    <w:p>
      <w:pPr>
        <w:pStyle w:val="Normal"/>
        <w:spacing w:lineRule="auto" w:line="360" w:before="0" w:after="200"/>
        <w:ind w:start="360" w:end="0"/>
        <w:contextualSpacing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סואן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;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/>
      </w:pP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וסדר</w:t>
      </w:r>
      <w:r>
        <w:rPr>
          <w:rtl w:val="true"/>
        </w:rPr>
        <w:t xml:space="preserve">.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firstLine="360" w:end="0"/>
        <w:contextualSpacing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   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דניס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וטקביץ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בחזהו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Fonts w:ascii="Calibri" w:hAnsi="Calibri" w:cs="Calibri"/>
          <w:rtl w:val="true"/>
        </w:rPr>
        <w:t>עיינו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". </w:t>
      </w:r>
      <w:r>
        <w:rPr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שתהיינה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הרצריקן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11.02.13</w:t>
      </w:r>
      <w:r>
        <w:rPr>
          <w:rtl w:val="true"/>
        </w:rPr>
        <w:t xml:space="preserve">):  </w:t>
      </w:r>
    </w:p>
    <w:p>
      <w:pPr>
        <w:pStyle w:val="Normal"/>
        <w:spacing w:before="0" w:after="200"/>
        <w:ind w:start="720" w:end="567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מלאכת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מדויק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איננו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עוסקים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בחילוק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והכפלה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מתמטיים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עונשו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למשנהו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בוחנים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מכלול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והשיקולים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הרלוונטיים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ונותנים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רכיב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ורכיב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משקלו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הראוי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מובן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השוואה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שונים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השותפים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אירוע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עברייני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ואולם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מלאכת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ענישתם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אינדיבידואלית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ונעשית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סמך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שיקולים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אישיים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הקשורים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בנפרד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מידת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תרומתם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ומהות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תפקידם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באירוע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העברייני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נסיבותיהם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יכולתם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להשתקם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וכיוצא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שיקולים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רלוונטיים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לעונש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כאמור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בחישוב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אריתמטי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מדויק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בגיבוש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תמונה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כוללת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המתקבלת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ונאשם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ונסיבותיו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b/>
          <w:bCs/>
          <w:sz w:val="22"/>
          <w:szCs w:val="22"/>
          <w:rtl w:val="true"/>
        </w:rPr>
        <w:t xml:space="preserve">".  </w:t>
      </w:r>
    </w:p>
    <w:p>
      <w:pPr>
        <w:pStyle w:val="Normal"/>
        <w:spacing w:before="0" w:after="200"/>
        <w:ind w:end="567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start="283" w:end="0"/>
        <w:contextualSpacing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Normal"/>
        <w:spacing w:before="0" w:after="20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before="0" w:after="20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before="0" w:after="200"/>
        <w:ind w:firstLine="283" w:end="0"/>
        <w:contextualSpacing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before="0" w:after="20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200"/>
        <w:ind w:start="283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בחטיבת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הצנחנים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התורני</w:t>
      </w:r>
      <w:r>
        <w:rPr>
          <w:rtl w:val="true"/>
        </w:rPr>
        <w:t xml:space="preserve">" </w:t>
      </w:r>
      <w:r>
        <w:rPr>
          <w:rtl w:val="true"/>
        </w:rPr>
        <w:t>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firstLine="283" w:end="0"/>
        <w:contextualSpacing/>
        <w:jc w:val="both"/>
        <w:rPr>
          <w:rFonts w:ascii="Arial" w:hAnsi="Arial" w:cs="Arial"/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Arial" w:hAnsi="Arial" w:cs="Arial"/>
          <w:rtl w:val="true"/>
        </w:rPr>
        <w:t xml:space="preserve"> וחולה במחלת הסרטן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מסקנת קצינת המבחן אינה חיובית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ומוסרית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firstLine="283" w:end="0"/>
        <w:contextualSpacing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פסיכולוג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end="0"/>
        <w:contextualSpacing/>
        <w:jc w:val="start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276" w:before="0" w:after="200"/>
        <w:ind w:firstLine="283" w:end="0"/>
        <w:contextualSpacing/>
        <w:jc w:val="start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שהכירו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ששמענו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שלגביהם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03.07.13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מהנפגעים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04.07.13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מהנפגעים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</w:t>
      </w:r>
    </w:p>
    <w:p>
      <w:pPr>
        <w:pStyle w:val="Normal"/>
        <w:numPr>
          <w:ilvl w:val="0"/>
          <w:numId w:val="9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04.07.13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9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9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מהנפגעים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04.07.13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מהנפגעים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both"/>
        <w:rPr>
          <w:b/>
          <w:bCs/>
        </w:rPr>
      </w:pPr>
      <w:r>
        <w:rPr>
          <w:b/>
          <w:bCs/>
          <w:u w:val="single"/>
          <w:rtl w:val="true"/>
        </w:rPr>
        <w:softHyphen/>
      </w:r>
      <w:r>
        <w:rPr>
          <w:b/>
          <w:b/>
          <w:bCs/>
          <w:u w:val="single"/>
          <w:rtl w:val="true"/>
        </w:rPr>
        <w:t>הערת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rtl w:val="true"/>
        </w:rPr>
        <w:t xml:space="preserve">: </w:t>
      </w:r>
    </w:p>
    <w:p>
      <w:pPr>
        <w:pStyle w:val="Header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er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בצעקות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שרמוטות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זונות</w:t>
      </w:r>
      <w:r>
        <w:rPr>
          <w:b/>
          <w:bCs/>
          <w:rtl w:val="true"/>
        </w:rPr>
        <w:t>."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David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54935-07-13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אסף לביא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sz w:val="2"/>
        <w:szCs w:val="22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86" w:hanging="360"/>
      </w:pPr>
      <w:rPr>
        <w:sz w:val="2"/>
        <w:szCs w:val="22"/>
        <w:rFonts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"/>
        <w:szCs w:val="22"/>
        <w:rFonts w:cs="David"/>
      </w:rPr>
    </w:lvl>
  </w:abstractNum>
  <w:abstractNum w:abstractNumId="8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sz w:val="2"/>
      <w:szCs w:val="22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 w:val="2"/>
      <w:szCs w:val="22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sz w:val="2"/>
      <w:szCs w:val="22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sz w:val="2"/>
      <w:szCs w:val="22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  <w:sz w:val="2"/>
      <w:szCs w:val="22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David"/>
      <w:sz w:val="2"/>
      <w:szCs w:val="22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cs="Times New Roman"/>
      <w:sz w:val="2"/>
      <w:szCs w:val="22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  <w:sz w:val="2"/>
      <w:szCs w:val="22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  <w:b w:val="false"/>
      <w:bCs w:val="false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ascii="David" w:hAnsi="David" w:cs="Times New Roman"/>
    </w:rPr>
  </w:style>
  <w:style w:type="character" w:styleId="WW8Num17z1">
    <w:name w:val="WW8Num1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normal-p-h1-h1">
    <w:name w:val="normal-p-h1-h1"/>
    <w:basedOn w:val="DefaultParagraphFont"/>
    <w:qFormat/>
    <w:rPr>
      <w:rFonts w:cs="Times New Roman"/>
      <w:sz w:val="24"/>
      <w:szCs w:val="24"/>
    </w:rPr>
  </w:style>
  <w:style w:type="character" w:styleId="Style12">
    <w:name w:val="טקסט הערה תו"/>
    <w:basedOn w:val="DefaultParagraphFont"/>
    <w:qFormat/>
    <w:rPr>
      <w:rFonts w:cs="Times New Roman"/>
      <w:sz w:val="20"/>
      <w:szCs w:val="20"/>
    </w:rPr>
  </w:style>
  <w:style w:type="character" w:styleId="1">
    <w:name w:val="טקסט הערה תו1"/>
    <w:basedOn w:val="DefaultParagraphFont"/>
    <w:qFormat/>
    <w:rPr>
      <w:sz w:val="24"/>
      <w:szCs w:val="24"/>
      <w:lang w:val="en-US" w:bidi="he-IL"/>
    </w:rPr>
  </w:style>
  <w:style w:type="character" w:styleId="Style13">
    <w:name w:val="נושא הערה תו"/>
    <w:basedOn w:val="1"/>
    <w:qFormat/>
    <w:rPr>
      <w:rFonts w:ascii="Calibri" w:hAnsi="Calibri" w:cs="Arial"/>
      <w:b/>
      <w:bCs/>
      <w:sz w:val="24"/>
      <w:szCs w:val="24"/>
      <w:lang w:val="en-US" w:bidi="he-IL"/>
    </w:rPr>
  </w:style>
  <w:style w:type="character" w:styleId="Style14">
    <w:name w:val="טקסט בלונים תו"/>
    <w:basedOn w:val="DefaultParagraphFont"/>
    <w:qFormat/>
    <w:rPr>
      <w:rFonts w:ascii="Tahoma" w:hAnsi="Tahoma" w:cs="Tahoma"/>
      <w:sz w:val="16"/>
      <w:szCs w:val="16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CommentSubject">
    <w:name w:val="Comment Subject"/>
    <w:basedOn w:val="CommentText"/>
    <w:next w:val="CommentText"/>
    <w:qFormat/>
    <w:pPr>
      <w:spacing w:lineRule="auto" w:line="276" w:before="0" w:after="200"/>
    </w:pPr>
    <w:rPr>
      <w:rFonts w:ascii="Calibri" w:hAnsi="Calibri" w:cs="Arial"/>
      <w:b/>
      <w:bCs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inks/psika/?NEWPROC=&#1514;&#1488;&amp;NEWPARTA=13&amp;NEWPARTC=17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573417" TargetMode="External"/><Relationship Id="rId15" Type="http://schemas.openxmlformats.org/officeDocument/2006/relationships/hyperlink" Target="http://www.nevo.co.il/case/5604164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2014-07-20T12:26:00Z</dcterms:created>
  <dc:creator> </dc:creator>
  <dc:description/>
  <cp:keywords/>
  <dc:language>en-IL</dc:language>
  <cp:lastModifiedBy>hofit</cp:lastModifiedBy>
  <dcterms:modified xsi:type="dcterms:W3CDTF">2014-07-20T12:26:00Z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אסף לביא;ניסים כהן;מיכאל שמעון;מרדכי יהודה דיין</vt:lpwstr>
  </property>
  <property fmtid="{D5CDD505-2E9C-101B-9397-08002B2CF9AE}" pid="4" name="CASENOTES1">
    <vt:lpwstr>ProcID=184&amp;PartA=13&amp;PartC=17</vt:lpwstr>
  </property>
  <property fmtid="{D5CDD505-2E9C-101B-9397-08002B2CF9AE}" pid="5" name="CASESLISTTMP1">
    <vt:lpwstr>5573417;5604164</vt:lpwstr>
  </property>
  <property fmtid="{D5CDD505-2E9C-101B-9397-08002B2CF9AE}" pid="6" name="CITY">
    <vt:lpwstr>ב"ש</vt:lpwstr>
  </property>
  <property fmtid="{D5CDD505-2E9C-101B-9397-08002B2CF9AE}" pid="7" name="DATE">
    <vt:lpwstr>20140715</vt:lpwstr>
  </property>
  <property fmtid="{D5CDD505-2E9C-101B-9397-08002B2CF9AE}" pid="8" name="ISABSTRACT">
    <vt:lpwstr>Y</vt:lpwstr>
  </property>
  <property fmtid="{D5CDD505-2E9C-101B-9397-08002B2CF9AE}" pid="9" name="JUDGE">
    <vt:lpwstr>ברוך אזולאי;נתן זלוצ'ובר;יעל רז לוי</vt:lpwstr>
  </property>
  <property fmtid="{D5CDD505-2E9C-101B-9397-08002B2CF9AE}" pid="10" name="LAWLISTTMP1">
    <vt:lpwstr>70301/329.a.1;329.a.2;144.a;040b</vt:lpwstr>
  </property>
  <property fmtid="{D5CDD505-2E9C-101B-9397-08002B2CF9AE}" pid="11" name="LAWYER">
    <vt:lpwstr>עינת בלנרו מפמ"ד</vt:lpwstr>
  </property>
  <property fmtid="{D5CDD505-2E9C-101B-9397-08002B2CF9AE}" pid="12" name="NEWPARTA">
    <vt:lpwstr>54935;55070</vt:lpwstr>
  </property>
  <property fmtid="{D5CDD505-2E9C-101B-9397-08002B2CF9AE}" pid="13" name="NEWPARTB">
    <vt:lpwstr>07;07</vt:lpwstr>
  </property>
  <property fmtid="{D5CDD505-2E9C-101B-9397-08002B2CF9AE}" pid="14" name="NEWPARTC">
    <vt:lpwstr>13;</vt:lpwstr>
  </property>
  <property fmtid="{D5CDD505-2E9C-101B-9397-08002B2CF9AE}" pid="15" name="NEWPROC">
    <vt:lpwstr>תפח;תפח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390020140715</vt:lpwstr>
  </property>
  <property fmtid="{D5CDD505-2E9C-101B-9397-08002B2CF9AE}" pid="19" name="TYPE_N_DATE">
    <vt:lpwstr>39020140715</vt:lpwstr>
  </property>
  <property fmtid="{D5CDD505-2E9C-101B-9397-08002B2CF9AE}" pid="20" name="WORDNUMPAGES">
    <vt:lpwstr>15</vt:lpwstr>
  </property>
</Properties>
</file>